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40F302B" w14:textId="4EDDA214" w:rsidR="00FD38A7" w:rsidRDefault="00FD38A7" w:rsidP="00FC22E0">
      <w:pPr>
        <w:jc w:val="both"/>
        <w:rPr>
          <w:b/>
          <w:bCs/>
          <w:sz w:val="22"/>
          <w:szCs w:val="22"/>
        </w:rPr>
      </w:pPr>
      <w:r>
        <w:rPr>
          <w:noProof/>
          <w:lang w:val="en-US"/>
        </w:rPr>
        <w:drawing>
          <wp:anchor distT="0" distB="0" distL="114300" distR="114300" simplePos="0" relativeHeight="251659264" behindDoc="0" locked="0" layoutInCell="1" allowOverlap="1" wp14:anchorId="030B6938" wp14:editId="279FB4D4">
            <wp:simplePos x="0" y="0"/>
            <wp:positionH relativeFrom="column">
              <wp:posOffset>-571500</wp:posOffset>
            </wp:positionH>
            <wp:positionV relativeFrom="paragraph">
              <wp:posOffset>-571500</wp:posOffset>
            </wp:positionV>
            <wp:extent cx="3422650" cy="1087755"/>
            <wp:effectExtent l="0" t="0" r="6350" b="4445"/>
            <wp:wrapTight wrapText="bothSides">
              <wp:wrapPolygon edited="0">
                <wp:start x="0" y="0"/>
                <wp:lineTo x="0" y="21184"/>
                <wp:lineTo x="21480" y="21184"/>
                <wp:lineTo x="21480" y="0"/>
                <wp:lineTo x="0" y="0"/>
              </wp:wrapPolygon>
            </wp:wrapTight>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ATP Logo.jpg"/>
                    <pic:cNvPicPr/>
                  </pic:nvPicPr>
                  <pic:blipFill>
                    <a:blip r:embed="rId5" cstate="print">
                      <a:extLst>
                        <a:ext uri="{28A0092B-C50C-407E-A947-70E740481C1C}">
                          <a14:useLocalDpi xmlns:a14="http://schemas.microsoft.com/office/drawing/2010/main" val="0"/>
                        </a:ext>
                      </a:extLst>
                    </a:blip>
                    <a:stretch>
                      <a:fillRect/>
                    </a:stretch>
                  </pic:blipFill>
                  <pic:spPr>
                    <a:xfrm>
                      <a:off x="0" y="0"/>
                      <a:ext cx="3422650" cy="1087755"/>
                    </a:xfrm>
                    <a:prstGeom prst="rect">
                      <a:avLst/>
                    </a:prstGeom>
                  </pic:spPr>
                </pic:pic>
              </a:graphicData>
            </a:graphic>
            <wp14:sizeRelH relativeFrom="page">
              <wp14:pctWidth>0</wp14:pctWidth>
            </wp14:sizeRelH>
            <wp14:sizeRelV relativeFrom="page">
              <wp14:pctHeight>0</wp14:pctHeight>
            </wp14:sizeRelV>
          </wp:anchor>
        </w:drawing>
      </w:r>
    </w:p>
    <w:p w14:paraId="25B79E64" w14:textId="77777777" w:rsidR="00FD38A7" w:rsidRDefault="00FD38A7" w:rsidP="00FC22E0">
      <w:pPr>
        <w:jc w:val="both"/>
        <w:rPr>
          <w:b/>
          <w:bCs/>
          <w:sz w:val="22"/>
          <w:szCs w:val="22"/>
        </w:rPr>
      </w:pPr>
    </w:p>
    <w:p w14:paraId="104421B8" w14:textId="77777777" w:rsidR="00FD38A7" w:rsidRDefault="00FD38A7" w:rsidP="00FC22E0">
      <w:pPr>
        <w:jc w:val="both"/>
        <w:rPr>
          <w:b/>
          <w:bCs/>
          <w:sz w:val="22"/>
          <w:szCs w:val="22"/>
        </w:rPr>
      </w:pPr>
    </w:p>
    <w:p w14:paraId="20CE5CF2" w14:textId="77777777" w:rsidR="00FD38A7" w:rsidRDefault="00FD38A7" w:rsidP="00FC22E0">
      <w:pPr>
        <w:jc w:val="both"/>
        <w:rPr>
          <w:b/>
          <w:bCs/>
          <w:sz w:val="22"/>
          <w:szCs w:val="22"/>
        </w:rPr>
      </w:pPr>
    </w:p>
    <w:p w14:paraId="483C0C1B" w14:textId="77777777" w:rsidR="008435D0" w:rsidRDefault="008435D0" w:rsidP="00FC22E0">
      <w:pPr>
        <w:jc w:val="both"/>
        <w:rPr>
          <w:b/>
          <w:bCs/>
          <w:sz w:val="22"/>
          <w:szCs w:val="22"/>
        </w:rPr>
      </w:pPr>
    </w:p>
    <w:p w14:paraId="737EC102" w14:textId="77777777" w:rsidR="008435D0" w:rsidRDefault="008435D0" w:rsidP="00FC22E0">
      <w:pPr>
        <w:jc w:val="both"/>
        <w:rPr>
          <w:b/>
          <w:bCs/>
          <w:sz w:val="22"/>
          <w:szCs w:val="22"/>
        </w:rPr>
      </w:pPr>
    </w:p>
    <w:p w14:paraId="26C909D1" w14:textId="77777777" w:rsidR="008435D0" w:rsidRDefault="008435D0" w:rsidP="00FC22E0">
      <w:pPr>
        <w:jc w:val="both"/>
        <w:rPr>
          <w:b/>
          <w:bCs/>
          <w:sz w:val="22"/>
          <w:szCs w:val="22"/>
        </w:rPr>
      </w:pPr>
    </w:p>
    <w:p w14:paraId="0B4B82A5" w14:textId="14390F4B" w:rsidR="003B7946" w:rsidRPr="003B7946" w:rsidRDefault="003B7946" w:rsidP="00FC22E0">
      <w:pPr>
        <w:jc w:val="both"/>
        <w:rPr>
          <w:b/>
          <w:bCs/>
          <w:sz w:val="22"/>
          <w:szCs w:val="22"/>
        </w:rPr>
      </w:pPr>
      <w:r w:rsidRPr="003B7946">
        <w:rPr>
          <w:b/>
          <w:bCs/>
          <w:sz w:val="22"/>
          <w:szCs w:val="22"/>
        </w:rPr>
        <w:t>TRACC Programme</w:t>
      </w:r>
      <w:r w:rsidR="004555C8">
        <w:rPr>
          <w:b/>
          <w:bCs/>
          <w:sz w:val="22"/>
          <w:szCs w:val="22"/>
        </w:rPr>
        <w:t xml:space="preserve"> Project Pro Forma</w:t>
      </w:r>
    </w:p>
    <w:p w14:paraId="6D4CE3CF" w14:textId="77777777" w:rsidR="003B7946" w:rsidRDefault="003B7946" w:rsidP="003B7946">
      <w:pPr>
        <w:jc w:val="both"/>
        <w:rPr>
          <w:rFonts w:ascii="Calibri" w:eastAsia="Times New Roman" w:hAnsi="Calibri" w:cs="FranklinGothic-Heavy"/>
          <w:sz w:val="22"/>
          <w:szCs w:val="22"/>
          <w:lang w:eastAsia="en-GB"/>
        </w:rPr>
      </w:pPr>
    </w:p>
    <w:p w14:paraId="3A8D03D4" w14:textId="6A127261" w:rsidR="00B402B9" w:rsidRPr="00A61817" w:rsidRDefault="00F071A1" w:rsidP="00FC22E0">
      <w:pPr>
        <w:jc w:val="both"/>
        <w:rPr>
          <w:rFonts w:ascii="Calibri" w:eastAsia="Times New Roman" w:hAnsi="Calibri" w:cs="FranklinGothic-Heavy"/>
          <w:sz w:val="22"/>
          <w:szCs w:val="22"/>
          <w:lang w:eastAsia="en-GB"/>
        </w:rPr>
      </w:pPr>
      <w:r w:rsidRPr="003B7946">
        <w:rPr>
          <w:rFonts w:ascii="Calibri" w:eastAsia="Times New Roman" w:hAnsi="Calibri" w:cs="FranklinGothic-Heavy"/>
          <w:sz w:val="22"/>
          <w:szCs w:val="22"/>
          <w:lang w:eastAsia="en-GB"/>
        </w:rPr>
        <w:t xml:space="preserve">TRACC (to Train and Retain Academic Cancer Clinicians) is a joint </w:t>
      </w:r>
      <w:r w:rsidR="003B7946" w:rsidRPr="003B7946">
        <w:rPr>
          <w:rFonts w:ascii="Calibri" w:eastAsia="Times New Roman" w:hAnsi="Calibri" w:cs="FranklinGothic-Heavy"/>
          <w:sz w:val="22"/>
          <w:szCs w:val="22"/>
          <w:lang w:eastAsia="en-GB"/>
        </w:rPr>
        <w:t xml:space="preserve">Glasgow/Edinburgh </w:t>
      </w:r>
      <w:r w:rsidR="004555C8" w:rsidRPr="003B7946">
        <w:rPr>
          <w:rFonts w:ascii="Calibri" w:eastAsia="Times New Roman" w:hAnsi="Calibri" w:cs="FranklinGothic-Heavy"/>
          <w:sz w:val="22"/>
          <w:szCs w:val="22"/>
          <w:lang w:eastAsia="en-GB"/>
        </w:rPr>
        <w:t xml:space="preserve">programme </w:t>
      </w:r>
      <w:r w:rsidRPr="003B7946">
        <w:rPr>
          <w:rFonts w:ascii="Calibri" w:eastAsia="Times New Roman" w:hAnsi="Calibri" w:cs="FranklinGothic-Heavy"/>
          <w:sz w:val="22"/>
          <w:szCs w:val="22"/>
          <w:lang w:eastAsia="en-GB"/>
        </w:rPr>
        <w:t>funded by C</w:t>
      </w:r>
      <w:r w:rsidR="003B7946" w:rsidRPr="003B7946">
        <w:rPr>
          <w:rFonts w:ascii="Calibri" w:eastAsia="Times New Roman" w:hAnsi="Calibri" w:cs="FranklinGothic-Heavy"/>
          <w:sz w:val="22"/>
          <w:szCs w:val="22"/>
          <w:lang w:eastAsia="en-GB"/>
        </w:rPr>
        <w:t>ancer Research UK</w:t>
      </w:r>
      <w:r w:rsidRPr="003B7946">
        <w:rPr>
          <w:rFonts w:ascii="Calibri" w:eastAsia="Times New Roman" w:hAnsi="Calibri" w:cs="FranklinGothic-Heavy"/>
          <w:sz w:val="22"/>
          <w:szCs w:val="22"/>
          <w:lang w:eastAsia="en-GB"/>
        </w:rPr>
        <w:t>.</w:t>
      </w:r>
      <w:r w:rsidR="004555C8">
        <w:rPr>
          <w:rFonts w:ascii="Calibri" w:eastAsia="Times New Roman" w:hAnsi="Calibri" w:cs="FranklinGothic-Heavy"/>
          <w:sz w:val="22"/>
          <w:szCs w:val="22"/>
          <w:lang w:eastAsia="en-GB"/>
        </w:rPr>
        <w:t xml:space="preserve"> </w:t>
      </w:r>
      <w:r w:rsidR="003B7946">
        <w:rPr>
          <w:rFonts w:ascii="Calibri" w:eastAsia="Times New Roman" w:hAnsi="Calibri" w:cs="FranklinGothic-Heavy"/>
          <w:sz w:val="22"/>
          <w:szCs w:val="22"/>
          <w:lang w:eastAsia="en-GB"/>
        </w:rPr>
        <w:t xml:space="preserve">The </w:t>
      </w:r>
      <w:r w:rsidR="003B7946" w:rsidRPr="003B7946">
        <w:rPr>
          <w:rFonts w:ascii="Calibri" w:eastAsia="Times New Roman" w:hAnsi="Calibri" w:cs="FranklinGothic-Heavy"/>
          <w:b/>
          <w:sz w:val="22"/>
          <w:szCs w:val="22"/>
          <w:lang w:eastAsia="en-GB"/>
        </w:rPr>
        <w:t>MB-PhD</w:t>
      </w:r>
      <w:r w:rsidR="003B7946">
        <w:rPr>
          <w:rFonts w:ascii="Calibri" w:eastAsia="Times New Roman" w:hAnsi="Calibri" w:cs="FranklinGothic-Heavy"/>
          <w:sz w:val="22"/>
          <w:szCs w:val="22"/>
          <w:lang w:eastAsia="en-GB"/>
        </w:rPr>
        <w:t xml:space="preserve"> strand of the programme</w:t>
      </w:r>
      <w:r w:rsidR="003B7946" w:rsidRPr="003B7946">
        <w:rPr>
          <w:rFonts w:ascii="Calibri" w:eastAsia="Times New Roman" w:hAnsi="Calibri" w:cs="FranklinGothic-Heavy"/>
          <w:sz w:val="22"/>
          <w:szCs w:val="22"/>
          <w:lang w:eastAsia="en-GB"/>
        </w:rPr>
        <w:t xml:space="preserve"> is an </w:t>
      </w:r>
      <w:r w:rsidR="003B7946" w:rsidRPr="003B7946">
        <w:rPr>
          <w:bCs/>
          <w:sz w:val="22"/>
          <w:szCs w:val="22"/>
        </w:rPr>
        <w:t>o</w:t>
      </w:r>
      <w:r w:rsidR="004555C8" w:rsidRPr="003B7946">
        <w:rPr>
          <w:bCs/>
          <w:sz w:val="22"/>
          <w:szCs w:val="22"/>
        </w:rPr>
        <w:t>pportunity</w:t>
      </w:r>
      <w:r w:rsidR="003B7946">
        <w:rPr>
          <w:bCs/>
          <w:sz w:val="22"/>
          <w:szCs w:val="22"/>
        </w:rPr>
        <w:t xml:space="preserve"> for medical students from either University </w:t>
      </w:r>
      <w:r w:rsidR="004555C8" w:rsidRPr="003B7946">
        <w:rPr>
          <w:bCs/>
          <w:sz w:val="22"/>
          <w:szCs w:val="22"/>
        </w:rPr>
        <w:t xml:space="preserve">to undertake a </w:t>
      </w:r>
      <w:r w:rsidR="004555C8" w:rsidRPr="003B7946">
        <w:rPr>
          <w:b/>
          <w:bCs/>
          <w:sz w:val="22"/>
          <w:szCs w:val="22"/>
        </w:rPr>
        <w:t>3</w:t>
      </w:r>
      <w:r w:rsidR="003B7946" w:rsidRPr="003B7946">
        <w:rPr>
          <w:b/>
          <w:bCs/>
          <w:sz w:val="22"/>
          <w:szCs w:val="22"/>
        </w:rPr>
        <w:t>-</w:t>
      </w:r>
      <w:r w:rsidR="004555C8" w:rsidRPr="003B7946">
        <w:rPr>
          <w:b/>
          <w:bCs/>
          <w:sz w:val="22"/>
          <w:szCs w:val="22"/>
        </w:rPr>
        <w:t xml:space="preserve">year </w:t>
      </w:r>
      <w:r w:rsidR="004555C8" w:rsidRPr="003B7946">
        <w:rPr>
          <w:bCs/>
          <w:sz w:val="22"/>
          <w:szCs w:val="22"/>
        </w:rPr>
        <w:t>PhD after the</w:t>
      </w:r>
      <w:r w:rsidR="003B7946">
        <w:rPr>
          <w:bCs/>
          <w:sz w:val="22"/>
          <w:szCs w:val="22"/>
        </w:rPr>
        <w:t>ir</w:t>
      </w:r>
      <w:r w:rsidR="004555C8" w:rsidRPr="003B7946">
        <w:rPr>
          <w:bCs/>
          <w:sz w:val="22"/>
          <w:szCs w:val="22"/>
        </w:rPr>
        <w:t xml:space="preserve"> BSc year in </w:t>
      </w:r>
      <w:r w:rsidR="004555C8" w:rsidRPr="003B7946">
        <w:rPr>
          <w:b/>
          <w:bCs/>
          <w:sz w:val="22"/>
          <w:szCs w:val="22"/>
        </w:rPr>
        <w:t>any discipline relevant to cancer research</w:t>
      </w:r>
      <w:r w:rsidR="003B7946">
        <w:rPr>
          <w:bCs/>
          <w:sz w:val="22"/>
          <w:szCs w:val="22"/>
        </w:rPr>
        <w:t>. St</w:t>
      </w:r>
      <w:r w:rsidR="004555C8">
        <w:rPr>
          <w:bCs/>
          <w:sz w:val="22"/>
          <w:szCs w:val="22"/>
        </w:rPr>
        <w:t>udents</w:t>
      </w:r>
      <w:r w:rsidR="003B7946">
        <w:rPr>
          <w:bCs/>
          <w:sz w:val="22"/>
          <w:szCs w:val="22"/>
        </w:rPr>
        <w:t xml:space="preserve"> are provided with </w:t>
      </w:r>
      <w:r w:rsidR="004555C8">
        <w:rPr>
          <w:bCs/>
          <w:sz w:val="22"/>
          <w:szCs w:val="22"/>
        </w:rPr>
        <w:t>c</w:t>
      </w:r>
      <w:r w:rsidR="004555C8" w:rsidRPr="003B7946">
        <w:rPr>
          <w:bCs/>
          <w:sz w:val="22"/>
          <w:szCs w:val="22"/>
        </w:rPr>
        <w:t xml:space="preserve">lose mentoring and support </w:t>
      </w:r>
      <w:r w:rsidR="004555C8">
        <w:rPr>
          <w:bCs/>
          <w:sz w:val="22"/>
          <w:szCs w:val="22"/>
        </w:rPr>
        <w:t>to</w:t>
      </w:r>
      <w:r w:rsidR="004555C8" w:rsidRPr="003B7946">
        <w:rPr>
          <w:bCs/>
          <w:sz w:val="22"/>
          <w:szCs w:val="22"/>
        </w:rPr>
        <w:t xml:space="preserve"> find the project that </w:t>
      </w:r>
      <w:r w:rsidR="004555C8">
        <w:rPr>
          <w:bCs/>
          <w:sz w:val="22"/>
          <w:szCs w:val="22"/>
        </w:rPr>
        <w:t xml:space="preserve">best </w:t>
      </w:r>
      <w:r w:rsidR="004555C8" w:rsidRPr="003B7946">
        <w:rPr>
          <w:bCs/>
          <w:sz w:val="22"/>
          <w:szCs w:val="22"/>
        </w:rPr>
        <w:t xml:space="preserve">fits </w:t>
      </w:r>
      <w:r w:rsidR="004555C8">
        <w:rPr>
          <w:bCs/>
          <w:sz w:val="22"/>
          <w:szCs w:val="22"/>
        </w:rPr>
        <w:t>their</w:t>
      </w:r>
      <w:r w:rsidR="004555C8" w:rsidRPr="003B7946">
        <w:rPr>
          <w:bCs/>
          <w:sz w:val="22"/>
          <w:szCs w:val="22"/>
        </w:rPr>
        <w:t xml:space="preserve"> interests across Edinburgh and Glasgow</w:t>
      </w:r>
      <w:r w:rsidR="004555C8">
        <w:rPr>
          <w:bCs/>
          <w:sz w:val="22"/>
          <w:szCs w:val="22"/>
        </w:rPr>
        <w:t>.</w:t>
      </w:r>
      <w:r w:rsidR="00A61817">
        <w:rPr>
          <w:rFonts w:ascii="Calibri" w:eastAsia="Times New Roman" w:hAnsi="Calibri" w:cs="FranklinGothic-Heavy"/>
          <w:sz w:val="22"/>
          <w:szCs w:val="22"/>
          <w:lang w:eastAsia="en-GB"/>
        </w:rPr>
        <w:t xml:space="preserve"> </w:t>
      </w:r>
      <w:r w:rsidR="004555C8">
        <w:rPr>
          <w:bCs/>
          <w:sz w:val="22"/>
          <w:szCs w:val="22"/>
        </w:rPr>
        <w:t>Your</w:t>
      </w:r>
      <w:r w:rsidR="00C91D53" w:rsidRPr="003B7946">
        <w:rPr>
          <w:bCs/>
          <w:sz w:val="22"/>
          <w:szCs w:val="22"/>
        </w:rPr>
        <w:t xml:space="preserve"> </w:t>
      </w:r>
      <w:r w:rsidR="003B7946" w:rsidRPr="003B7946">
        <w:rPr>
          <w:bCs/>
          <w:sz w:val="22"/>
          <w:szCs w:val="22"/>
        </w:rPr>
        <w:t xml:space="preserve">MB-PhD </w:t>
      </w:r>
      <w:r w:rsidR="00C91D53" w:rsidRPr="003B7946">
        <w:rPr>
          <w:bCs/>
          <w:sz w:val="22"/>
          <w:szCs w:val="22"/>
        </w:rPr>
        <w:t>project</w:t>
      </w:r>
      <w:r w:rsidR="004555C8">
        <w:rPr>
          <w:bCs/>
          <w:sz w:val="22"/>
          <w:szCs w:val="22"/>
        </w:rPr>
        <w:t xml:space="preserve"> proposal</w:t>
      </w:r>
      <w:r w:rsidR="00C91D53" w:rsidRPr="003B7946">
        <w:rPr>
          <w:bCs/>
          <w:sz w:val="22"/>
          <w:szCs w:val="22"/>
        </w:rPr>
        <w:t xml:space="preserve"> </w:t>
      </w:r>
      <w:r w:rsidR="00B402B9" w:rsidRPr="003B7946">
        <w:rPr>
          <w:bCs/>
          <w:sz w:val="22"/>
          <w:szCs w:val="22"/>
        </w:rPr>
        <w:t>should be</w:t>
      </w:r>
      <w:r w:rsidR="00C91D53" w:rsidRPr="003B7946">
        <w:rPr>
          <w:bCs/>
          <w:sz w:val="22"/>
          <w:szCs w:val="22"/>
        </w:rPr>
        <w:t xml:space="preserve"> suitable for </w:t>
      </w:r>
      <w:r w:rsidR="00B402B9" w:rsidRPr="003B7946">
        <w:rPr>
          <w:bCs/>
          <w:sz w:val="22"/>
          <w:szCs w:val="22"/>
        </w:rPr>
        <w:t>a 2</w:t>
      </w:r>
      <w:r w:rsidR="00B402B9" w:rsidRPr="003B7946">
        <w:rPr>
          <w:bCs/>
          <w:sz w:val="22"/>
          <w:szCs w:val="22"/>
          <w:vertAlign w:val="superscript"/>
        </w:rPr>
        <w:t>nd</w:t>
      </w:r>
      <w:r w:rsidR="00B402B9" w:rsidRPr="003B7946">
        <w:rPr>
          <w:bCs/>
          <w:sz w:val="22"/>
          <w:szCs w:val="22"/>
        </w:rPr>
        <w:t xml:space="preserve"> or 3</w:t>
      </w:r>
      <w:r w:rsidR="00B402B9" w:rsidRPr="003B7946">
        <w:rPr>
          <w:bCs/>
          <w:sz w:val="22"/>
          <w:szCs w:val="22"/>
          <w:vertAlign w:val="superscript"/>
        </w:rPr>
        <w:t>rd</w:t>
      </w:r>
      <w:r w:rsidR="00B402B9" w:rsidRPr="003B7946">
        <w:rPr>
          <w:bCs/>
          <w:sz w:val="22"/>
          <w:szCs w:val="22"/>
        </w:rPr>
        <w:t xml:space="preserve"> year medical student undertaking a 3-year intercalated PhD (having previous completed a 1-year intercalated BSc</w:t>
      </w:r>
      <w:proofErr w:type="gramStart"/>
      <w:r w:rsidR="00B402B9" w:rsidRPr="003B7946">
        <w:rPr>
          <w:bCs/>
          <w:sz w:val="22"/>
          <w:szCs w:val="22"/>
        </w:rPr>
        <w:t>).</w:t>
      </w:r>
      <w:r w:rsidR="00A61817" w:rsidRPr="00A61817">
        <w:rPr>
          <w:bCs/>
          <w:sz w:val="22"/>
          <w:szCs w:val="22"/>
        </w:rPr>
        <w:t>.</w:t>
      </w:r>
      <w:proofErr w:type="gramEnd"/>
    </w:p>
    <w:p w14:paraId="329C9EE8" w14:textId="278AA8E3" w:rsidR="00A61817" w:rsidRDefault="00A61817" w:rsidP="00FC22E0">
      <w:pPr>
        <w:jc w:val="both"/>
        <w:rPr>
          <w:bCs/>
          <w:sz w:val="22"/>
          <w:szCs w:val="22"/>
        </w:rPr>
      </w:pPr>
    </w:p>
    <w:p w14:paraId="6E561C88" w14:textId="2F0FA2F2" w:rsidR="00C91D53" w:rsidRDefault="00C91D53" w:rsidP="00FC22E0">
      <w:pPr>
        <w:jc w:val="both"/>
        <w:rPr>
          <w:b/>
          <w:bCs/>
          <w:sz w:val="22"/>
          <w:szCs w:val="22"/>
        </w:rPr>
      </w:pPr>
    </w:p>
    <w:p w14:paraId="702183E5" w14:textId="35F9C3D6" w:rsidR="00A40DCB" w:rsidRPr="00FD38A7" w:rsidRDefault="00830F86" w:rsidP="00FC22E0">
      <w:pPr>
        <w:jc w:val="both"/>
        <w:rPr>
          <w:b/>
          <w:bCs/>
          <w:sz w:val="22"/>
          <w:szCs w:val="22"/>
        </w:rPr>
      </w:pPr>
      <w:r w:rsidRPr="003B7946">
        <w:rPr>
          <w:rFonts w:ascii="Calibri" w:eastAsia="Times New Roman" w:hAnsi="Calibri" w:cs="FranklinGothic-Heavy"/>
          <w:b/>
          <w:sz w:val="22"/>
          <w:szCs w:val="22"/>
          <w:lang w:eastAsia="en-GB"/>
        </w:rPr>
        <w:t>MB-</w:t>
      </w:r>
      <w:proofErr w:type="gramStart"/>
      <w:r w:rsidRPr="003B7946">
        <w:rPr>
          <w:rFonts w:ascii="Calibri" w:eastAsia="Times New Roman" w:hAnsi="Calibri" w:cs="FranklinGothic-Heavy"/>
          <w:b/>
          <w:sz w:val="22"/>
          <w:szCs w:val="22"/>
          <w:lang w:eastAsia="en-GB"/>
        </w:rPr>
        <w:t>PhD</w:t>
      </w:r>
      <w:r>
        <w:rPr>
          <w:rFonts w:ascii="Calibri" w:eastAsia="Times New Roman" w:hAnsi="Calibri" w:cs="FranklinGothic-Heavy"/>
          <w:sz w:val="22"/>
          <w:szCs w:val="22"/>
          <w:lang w:eastAsia="en-GB"/>
        </w:rPr>
        <w:t xml:space="preserve">  </w:t>
      </w:r>
      <w:r w:rsidR="00A40DCB" w:rsidRPr="00FD38A7">
        <w:rPr>
          <w:b/>
          <w:bCs/>
          <w:sz w:val="22"/>
          <w:szCs w:val="22"/>
        </w:rPr>
        <w:t>Project</w:t>
      </w:r>
      <w:proofErr w:type="gramEnd"/>
      <w:r w:rsidR="00A40DCB" w:rsidRPr="00FD38A7">
        <w:rPr>
          <w:b/>
          <w:bCs/>
          <w:sz w:val="22"/>
          <w:szCs w:val="22"/>
        </w:rPr>
        <w:t xml:space="preserve"> </w:t>
      </w:r>
      <w:r w:rsidR="00806088">
        <w:rPr>
          <w:b/>
          <w:bCs/>
          <w:sz w:val="22"/>
          <w:szCs w:val="22"/>
        </w:rPr>
        <w:t>t</w:t>
      </w:r>
      <w:r w:rsidR="00A40DCB" w:rsidRPr="00FD38A7">
        <w:rPr>
          <w:b/>
          <w:bCs/>
          <w:sz w:val="22"/>
          <w:szCs w:val="22"/>
        </w:rPr>
        <w:t>itle:</w:t>
      </w:r>
      <w:r w:rsidR="002A7313" w:rsidRPr="00FD38A7">
        <w:rPr>
          <w:b/>
          <w:bCs/>
          <w:sz w:val="22"/>
          <w:szCs w:val="22"/>
        </w:rPr>
        <w:t xml:space="preserve"> </w:t>
      </w:r>
      <w:r w:rsidR="00EE217C" w:rsidRPr="00EE217C">
        <w:rPr>
          <w:rFonts w:ascii="Poppins" w:hAnsi="Poppins" w:cs="Poppins"/>
          <w:sz w:val="22"/>
          <w:szCs w:val="22"/>
        </w:rPr>
        <w:t xml:space="preserve">Mechanistic exploration of genetic, environmental, and sex-specific risk factors to reduce colorectal cancer incidence and inequalities.  </w:t>
      </w:r>
    </w:p>
    <w:p w14:paraId="02B5E658" w14:textId="2C46F7CB" w:rsidR="00A40DCB" w:rsidRDefault="00A40DCB" w:rsidP="00FC22E0">
      <w:pPr>
        <w:jc w:val="both"/>
        <w:rPr>
          <w:b/>
          <w:bCs/>
          <w:sz w:val="22"/>
          <w:szCs w:val="22"/>
        </w:rPr>
      </w:pPr>
    </w:p>
    <w:p w14:paraId="34E90182" w14:textId="77777777" w:rsidR="00FD38A7" w:rsidRPr="00FD38A7" w:rsidRDefault="00FD38A7" w:rsidP="00FC22E0">
      <w:pPr>
        <w:jc w:val="both"/>
        <w:rPr>
          <w:b/>
          <w:bCs/>
          <w:sz w:val="22"/>
          <w:szCs w:val="22"/>
        </w:rPr>
      </w:pPr>
    </w:p>
    <w:p w14:paraId="3F937E34" w14:textId="77777777" w:rsidR="00E43BD1" w:rsidRDefault="002E79A8" w:rsidP="00FC22E0">
      <w:pPr>
        <w:jc w:val="both"/>
        <w:rPr>
          <w:bCs/>
          <w:i/>
          <w:sz w:val="22"/>
          <w:szCs w:val="22"/>
        </w:rPr>
      </w:pPr>
      <w:r w:rsidRPr="00FD38A7">
        <w:rPr>
          <w:b/>
          <w:bCs/>
          <w:sz w:val="22"/>
          <w:szCs w:val="22"/>
        </w:rPr>
        <w:t>Supervisor</w:t>
      </w:r>
      <w:r w:rsidR="00E43BD1">
        <w:rPr>
          <w:b/>
          <w:bCs/>
          <w:sz w:val="22"/>
          <w:szCs w:val="22"/>
        </w:rPr>
        <w:t>y</w:t>
      </w:r>
      <w:r w:rsidR="00A40DCB" w:rsidRPr="00FD38A7">
        <w:rPr>
          <w:b/>
          <w:bCs/>
          <w:sz w:val="22"/>
          <w:szCs w:val="22"/>
        </w:rPr>
        <w:t xml:space="preserve"> </w:t>
      </w:r>
      <w:r w:rsidR="00806088">
        <w:rPr>
          <w:b/>
          <w:bCs/>
          <w:sz w:val="22"/>
          <w:szCs w:val="22"/>
        </w:rPr>
        <w:t>t</w:t>
      </w:r>
      <w:r w:rsidR="00A40DCB" w:rsidRPr="00FD38A7">
        <w:rPr>
          <w:b/>
          <w:bCs/>
          <w:sz w:val="22"/>
          <w:szCs w:val="22"/>
        </w:rPr>
        <w:t>eam</w:t>
      </w:r>
      <w:r w:rsidRPr="00FD38A7">
        <w:rPr>
          <w:b/>
          <w:bCs/>
          <w:sz w:val="22"/>
          <w:szCs w:val="22"/>
        </w:rPr>
        <w:t xml:space="preserve">: </w:t>
      </w:r>
    </w:p>
    <w:p w14:paraId="17DB4E93" w14:textId="54BD039E" w:rsidR="002E79A8" w:rsidRPr="00E43BD1" w:rsidRDefault="00E43BD1" w:rsidP="00FC22E0">
      <w:pPr>
        <w:jc w:val="both"/>
        <w:rPr>
          <w:bCs/>
          <w:i/>
          <w:sz w:val="22"/>
          <w:szCs w:val="22"/>
        </w:rPr>
      </w:pPr>
      <w:r>
        <w:rPr>
          <w:bCs/>
          <w:i/>
          <w:sz w:val="22"/>
          <w:szCs w:val="22"/>
        </w:rPr>
        <w:t>Please consider including supervisors from the other centre where there is a good fit</w:t>
      </w:r>
    </w:p>
    <w:p w14:paraId="16758919" w14:textId="1343B59C" w:rsidR="002E79A8" w:rsidRPr="00EE217C" w:rsidRDefault="00EE217C" w:rsidP="00FC22E0">
      <w:pPr>
        <w:jc w:val="both"/>
        <w:rPr>
          <w:rFonts w:ascii="Poppins" w:hAnsi="Poppins" w:cs="Poppins"/>
          <w:sz w:val="22"/>
          <w:szCs w:val="22"/>
        </w:rPr>
      </w:pPr>
      <w:proofErr w:type="spellStart"/>
      <w:r w:rsidRPr="00EE217C">
        <w:rPr>
          <w:rFonts w:ascii="Poppins" w:hAnsi="Poppins" w:cs="Poppins"/>
          <w:sz w:val="22"/>
          <w:szCs w:val="22"/>
        </w:rPr>
        <w:t>Dr.</w:t>
      </w:r>
      <w:proofErr w:type="spellEnd"/>
      <w:r w:rsidRPr="00EE217C">
        <w:rPr>
          <w:rFonts w:ascii="Poppins" w:hAnsi="Poppins" w:cs="Poppins"/>
          <w:sz w:val="22"/>
          <w:szCs w:val="22"/>
        </w:rPr>
        <w:t xml:space="preserve"> Vidya Rajasekaran</w:t>
      </w:r>
    </w:p>
    <w:p w14:paraId="279AE350" w14:textId="50F4F993" w:rsidR="00EE217C" w:rsidRPr="00EE217C" w:rsidRDefault="00EE217C" w:rsidP="00FC22E0">
      <w:pPr>
        <w:jc w:val="both"/>
        <w:rPr>
          <w:rFonts w:ascii="Poppins" w:hAnsi="Poppins" w:cs="Poppins"/>
          <w:sz w:val="22"/>
          <w:szCs w:val="22"/>
        </w:rPr>
      </w:pPr>
      <w:r w:rsidRPr="00EE217C">
        <w:rPr>
          <w:rFonts w:ascii="Poppins" w:hAnsi="Poppins" w:cs="Poppins"/>
          <w:sz w:val="22"/>
          <w:szCs w:val="22"/>
        </w:rPr>
        <w:t>Prof. Susan Farrington</w:t>
      </w:r>
    </w:p>
    <w:p w14:paraId="61175D5C" w14:textId="71BDA59F" w:rsidR="00EE217C" w:rsidRPr="00EE217C" w:rsidRDefault="00EE217C" w:rsidP="00FC22E0">
      <w:pPr>
        <w:jc w:val="both"/>
        <w:rPr>
          <w:rFonts w:ascii="Poppins" w:hAnsi="Poppins" w:cs="Poppins"/>
          <w:sz w:val="22"/>
          <w:szCs w:val="22"/>
        </w:rPr>
      </w:pPr>
      <w:r w:rsidRPr="00EE217C">
        <w:rPr>
          <w:rFonts w:ascii="Poppins" w:hAnsi="Poppins" w:cs="Poppins"/>
          <w:sz w:val="22"/>
          <w:szCs w:val="22"/>
        </w:rPr>
        <w:t>Prof. Joanne Edwards</w:t>
      </w:r>
    </w:p>
    <w:p w14:paraId="69EB9F8E" w14:textId="77777777" w:rsidR="00FD38A7" w:rsidRPr="00FD38A7" w:rsidRDefault="00FD38A7" w:rsidP="00FC22E0">
      <w:pPr>
        <w:jc w:val="both"/>
        <w:rPr>
          <w:sz w:val="22"/>
          <w:szCs w:val="22"/>
        </w:rPr>
      </w:pPr>
    </w:p>
    <w:p w14:paraId="31529679" w14:textId="4EC9D1C5" w:rsidR="00A40DCB" w:rsidRDefault="00A40DCB" w:rsidP="00FC22E0">
      <w:pPr>
        <w:jc w:val="both"/>
        <w:rPr>
          <w:b/>
          <w:bCs/>
          <w:sz w:val="22"/>
          <w:szCs w:val="22"/>
        </w:rPr>
      </w:pPr>
      <w:r w:rsidRPr="00FD38A7">
        <w:rPr>
          <w:b/>
          <w:bCs/>
          <w:sz w:val="22"/>
          <w:szCs w:val="22"/>
        </w:rPr>
        <w:t xml:space="preserve">Lab </w:t>
      </w:r>
      <w:r w:rsidR="00806088">
        <w:rPr>
          <w:b/>
          <w:bCs/>
          <w:sz w:val="22"/>
          <w:szCs w:val="22"/>
        </w:rPr>
        <w:t>w</w:t>
      </w:r>
      <w:r w:rsidRPr="00FD38A7">
        <w:rPr>
          <w:b/>
          <w:bCs/>
          <w:sz w:val="22"/>
          <w:szCs w:val="22"/>
        </w:rPr>
        <w:t>ebsites:</w:t>
      </w:r>
    </w:p>
    <w:p w14:paraId="2F814750" w14:textId="0D998C40" w:rsidR="00EE217C" w:rsidRPr="00EE217C" w:rsidRDefault="00EE217C" w:rsidP="00FC22E0">
      <w:pPr>
        <w:jc w:val="both"/>
        <w:rPr>
          <w:rFonts w:ascii="Poppins" w:hAnsi="Poppins" w:cs="Poppins"/>
          <w:b/>
          <w:bCs/>
          <w:sz w:val="22"/>
          <w:szCs w:val="22"/>
        </w:rPr>
      </w:pPr>
      <w:r w:rsidRPr="00EE217C">
        <w:rPr>
          <w:rFonts w:ascii="Poppins" w:eastAsia="Times New Roman" w:hAnsi="Poppins" w:cs="Poppins"/>
          <w:lang w:eastAsia="en-GB"/>
        </w:rPr>
        <w:t>www.ed.ac.uk/cancer-centre/research/farrington-group/colorectal-cancer-genetics</w:t>
      </w:r>
    </w:p>
    <w:p w14:paraId="1DB5F6B9" w14:textId="3E0CF3E6" w:rsidR="00A40DCB" w:rsidRPr="00EE217C" w:rsidRDefault="00EE217C" w:rsidP="00FC22E0">
      <w:pPr>
        <w:jc w:val="both"/>
        <w:rPr>
          <w:rFonts w:ascii="Poppins" w:hAnsi="Poppins" w:cs="Poppins"/>
          <w:sz w:val="22"/>
          <w:szCs w:val="22"/>
        </w:rPr>
      </w:pPr>
      <w:r w:rsidRPr="00EE217C">
        <w:rPr>
          <w:rFonts w:ascii="Poppins" w:hAnsi="Poppins" w:cs="Poppins"/>
          <w:sz w:val="22"/>
          <w:szCs w:val="22"/>
        </w:rPr>
        <w:t>https://www.gla.ac.uk/schools/cancersciences/staff/joanneedwards/#</w:t>
      </w:r>
    </w:p>
    <w:p w14:paraId="0F5507CB" w14:textId="77777777" w:rsidR="00FD38A7" w:rsidRPr="00FD38A7" w:rsidRDefault="00FD38A7" w:rsidP="00FC22E0">
      <w:pPr>
        <w:jc w:val="both"/>
        <w:rPr>
          <w:sz w:val="22"/>
          <w:szCs w:val="22"/>
        </w:rPr>
      </w:pPr>
    </w:p>
    <w:p w14:paraId="6EC077B0" w14:textId="41E52032" w:rsidR="002E79A8" w:rsidRPr="00FD38A7" w:rsidRDefault="00A40DCB" w:rsidP="00FC22E0">
      <w:pPr>
        <w:jc w:val="both"/>
        <w:rPr>
          <w:b/>
          <w:bCs/>
          <w:sz w:val="22"/>
          <w:szCs w:val="22"/>
        </w:rPr>
      </w:pPr>
      <w:r w:rsidRPr="00FD38A7">
        <w:rPr>
          <w:b/>
          <w:bCs/>
          <w:sz w:val="22"/>
          <w:szCs w:val="22"/>
        </w:rPr>
        <w:t xml:space="preserve">Research </w:t>
      </w:r>
      <w:r w:rsidR="00806088">
        <w:rPr>
          <w:b/>
          <w:bCs/>
          <w:sz w:val="22"/>
          <w:szCs w:val="22"/>
        </w:rPr>
        <w:t>q</w:t>
      </w:r>
      <w:r w:rsidRPr="00FD38A7">
        <w:rPr>
          <w:b/>
          <w:bCs/>
          <w:sz w:val="22"/>
          <w:szCs w:val="22"/>
        </w:rPr>
        <w:t>uestion:</w:t>
      </w:r>
    </w:p>
    <w:p w14:paraId="0A8A62F1" w14:textId="77777777" w:rsidR="00306605" w:rsidRDefault="00306605" w:rsidP="00306605">
      <w:pPr>
        <w:pStyle w:val="Bodycopy"/>
        <w:rPr>
          <w:rFonts w:ascii="Poppins" w:hAnsi="Poppins" w:cs="Poppins"/>
          <w:sz w:val="21"/>
          <w:szCs w:val="21"/>
        </w:rPr>
      </w:pPr>
      <w:r>
        <w:rPr>
          <w:rFonts w:ascii="Poppins" w:hAnsi="Poppins" w:cs="Poppins"/>
          <w:sz w:val="21"/>
          <w:szCs w:val="21"/>
        </w:rPr>
        <w:t xml:space="preserve">With significant disparities in incidence, progression, and outcomes influenced by genetic, environmental, and sex-specific factors, colorectal cancer remains one of the leading causes of cancer related mortality. The overarching goal of this project is to investigate mechanisms underlying this inequality and translational impact, by integrating clinical data and exploratory model research to identify actionable biomarkers and potential intervention strategies. </w:t>
      </w:r>
    </w:p>
    <w:p w14:paraId="7A027D9B" w14:textId="77777777" w:rsidR="00306605" w:rsidRDefault="00306605" w:rsidP="00306605">
      <w:pPr>
        <w:pStyle w:val="Bodycopy"/>
        <w:rPr>
          <w:rFonts w:ascii="Poppins" w:hAnsi="Poppins" w:cs="Poppins"/>
          <w:sz w:val="21"/>
          <w:szCs w:val="21"/>
        </w:rPr>
      </w:pPr>
    </w:p>
    <w:p w14:paraId="4C999D24" w14:textId="77777777" w:rsidR="00306605" w:rsidRDefault="00306605" w:rsidP="00306605">
      <w:pPr>
        <w:pStyle w:val="Bodycopy"/>
        <w:rPr>
          <w:rFonts w:ascii="Poppins" w:hAnsi="Poppins" w:cs="Poppins"/>
          <w:sz w:val="21"/>
          <w:szCs w:val="21"/>
        </w:rPr>
      </w:pPr>
      <w:r>
        <w:rPr>
          <w:rFonts w:ascii="Poppins" w:hAnsi="Poppins" w:cs="Poppins"/>
          <w:sz w:val="21"/>
          <w:szCs w:val="21"/>
        </w:rPr>
        <w:t xml:space="preserve">This project will leverage large patient-derived datasets and our established mouse models of CRC risk genes identified through GWAS, TWAS and sequencing studies. These models recapitulate key disease phenotypes, including sexually dimorphic tumour formation.  These patient data (clinical meta, with access to tissue markers and spatial information) and model systems can be used to investigate the interplay between genetic predisposition, environmental/dietary/microbiome/ immune </w:t>
      </w:r>
      <w:r>
        <w:rPr>
          <w:rFonts w:ascii="Poppins" w:hAnsi="Poppins" w:cs="Poppins"/>
          <w:sz w:val="21"/>
          <w:szCs w:val="21"/>
        </w:rPr>
        <w:lastRenderedPageBreak/>
        <w:t>factors, and sex in CRC initiation, progression and survival, providing a number of interesting strands that can be developed by the successful student:</w:t>
      </w:r>
    </w:p>
    <w:p w14:paraId="3C2E5568" w14:textId="77777777" w:rsidR="00306605" w:rsidRDefault="00306605" w:rsidP="00306605">
      <w:pPr>
        <w:pStyle w:val="Bodycopy"/>
        <w:rPr>
          <w:rFonts w:ascii="Poppins" w:hAnsi="Poppins" w:cs="Poppins"/>
          <w:sz w:val="21"/>
          <w:szCs w:val="21"/>
        </w:rPr>
      </w:pPr>
    </w:p>
    <w:p w14:paraId="588F3CC3" w14:textId="77777777" w:rsidR="00306605" w:rsidRPr="00550E4E" w:rsidRDefault="00306605" w:rsidP="00306605">
      <w:pPr>
        <w:pStyle w:val="Bodycopy"/>
        <w:numPr>
          <w:ilvl w:val="0"/>
          <w:numId w:val="7"/>
        </w:numPr>
        <w:rPr>
          <w:rFonts w:ascii="Poppins" w:hAnsi="Poppins" w:cs="Poppins"/>
          <w:b/>
          <w:bCs/>
          <w:sz w:val="21"/>
          <w:szCs w:val="21"/>
        </w:rPr>
      </w:pPr>
      <w:r>
        <w:rPr>
          <w:rFonts w:ascii="Poppins" w:hAnsi="Poppins" w:cs="Poppins"/>
          <w:sz w:val="21"/>
          <w:szCs w:val="21"/>
        </w:rPr>
        <w:t xml:space="preserve">Understanding sex specific mechanisms in CRC disparities: </w:t>
      </w:r>
    </w:p>
    <w:p w14:paraId="0A1AF7B5" w14:textId="77777777" w:rsidR="00306605" w:rsidRPr="00550E4E" w:rsidRDefault="00306605" w:rsidP="00306605">
      <w:pPr>
        <w:pStyle w:val="Bodycopy"/>
        <w:numPr>
          <w:ilvl w:val="0"/>
          <w:numId w:val="4"/>
        </w:numPr>
        <w:rPr>
          <w:rFonts w:ascii="Poppins" w:hAnsi="Poppins" w:cs="Poppins"/>
          <w:b/>
          <w:bCs/>
          <w:sz w:val="21"/>
          <w:szCs w:val="21"/>
        </w:rPr>
      </w:pPr>
      <w:r>
        <w:rPr>
          <w:rFonts w:ascii="Poppins" w:hAnsi="Poppins" w:cs="Poppins"/>
          <w:sz w:val="21"/>
          <w:szCs w:val="21"/>
        </w:rPr>
        <w:t xml:space="preserve"> Assess X-chromosome inactivation patterns and the contribution to sex-biased CRC incidence.</w:t>
      </w:r>
    </w:p>
    <w:p w14:paraId="479D9FB0" w14:textId="77777777" w:rsidR="00306605" w:rsidRDefault="00306605" w:rsidP="00306605">
      <w:pPr>
        <w:pStyle w:val="Bodycopy"/>
        <w:numPr>
          <w:ilvl w:val="0"/>
          <w:numId w:val="5"/>
        </w:numPr>
        <w:rPr>
          <w:rFonts w:ascii="Poppins" w:hAnsi="Poppins" w:cs="Poppins"/>
          <w:sz w:val="21"/>
          <w:szCs w:val="21"/>
        </w:rPr>
      </w:pPr>
      <w:r>
        <w:rPr>
          <w:rFonts w:ascii="Poppins" w:hAnsi="Poppins" w:cs="Poppins"/>
          <w:sz w:val="21"/>
          <w:szCs w:val="21"/>
        </w:rPr>
        <w:t>Characterize sex-specific differences in tumour microenvironment (primary tumour and adjacent normal colonic epithelium), using markers and spatial transcriptomics.</w:t>
      </w:r>
    </w:p>
    <w:p w14:paraId="050400FA" w14:textId="77777777" w:rsidR="00306605" w:rsidRDefault="00306605" w:rsidP="00306605">
      <w:pPr>
        <w:pStyle w:val="Bodycopy"/>
        <w:numPr>
          <w:ilvl w:val="0"/>
          <w:numId w:val="5"/>
        </w:numPr>
        <w:rPr>
          <w:rFonts w:ascii="Poppins" w:hAnsi="Poppins" w:cs="Poppins"/>
          <w:sz w:val="21"/>
          <w:szCs w:val="21"/>
        </w:rPr>
      </w:pPr>
      <w:r w:rsidRPr="00187AA6">
        <w:rPr>
          <w:rFonts w:ascii="Poppins" w:hAnsi="Poppins" w:cs="Poppins"/>
          <w:sz w:val="21"/>
          <w:szCs w:val="21"/>
        </w:rPr>
        <w:t>Investigate the role of sex hormones in tumour susceptibility through hormone depletion and replacement</w:t>
      </w:r>
      <w:r>
        <w:rPr>
          <w:rFonts w:ascii="Poppins" w:hAnsi="Poppins" w:cs="Poppins"/>
          <w:sz w:val="21"/>
          <w:szCs w:val="21"/>
        </w:rPr>
        <w:t xml:space="preserve"> studies.</w:t>
      </w:r>
    </w:p>
    <w:p w14:paraId="05A628BA" w14:textId="77777777" w:rsidR="00306605" w:rsidRDefault="00306605" w:rsidP="00306605">
      <w:pPr>
        <w:pStyle w:val="Bodycopy"/>
        <w:ind w:left="1440"/>
        <w:rPr>
          <w:rFonts w:ascii="Poppins" w:hAnsi="Poppins" w:cs="Poppins"/>
          <w:sz w:val="21"/>
          <w:szCs w:val="21"/>
        </w:rPr>
      </w:pPr>
    </w:p>
    <w:p w14:paraId="527519FF" w14:textId="77777777" w:rsidR="00306605" w:rsidRPr="00527A01" w:rsidRDefault="00306605" w:rsidP="00306605">
      <w:pPr>
        <w:pStyle w:val="Bodycopy"/>
        <w:numPr>
          <w:ilvl w:val="0"/>
          <w:numId w:val="7"/>
        </w:numPr>
        <w:rPr>
          <w:rFonts w:ascii="Poppins" w:hAnsi="Poppins" w:cs="Poppins"/>
          <w:sz w:val="21"/>
          <w:szCs w:val="21"/>
        </w:rPr>
      </w:pPr>
      <w:r w:rsidRPr="00187AA6">
        <w:rPr>
          <w:rFonts w:ascii="Poppins" w:hAnsi="Poppins" w:cs="Poppins"/>
          <w:sz w:val="21"/>
          <w:szCs w:val="21"/>
        </w:rPr>
        <w:t>Dietary/environmen</w:t>
      </w:r>
      <w:r>
        <w:rPr>
          <w:rFonts w:ascii="Poppins" w:hAnsi="Poppins" w:cs="Poppins"/>
          <w:sz w:val="21"/>
          <w:szCs w:val="21"/>
        </w:rPr>
        <w:t>tal/microbiome/immune influences on CRC risk:</w:t>
      </w:r>
    </w:p>
    <w:p w14:paraId="71732ED7" w14:textId="77777777" w:rsidR="00306605" w:rsidRDefault="00306605" w:rsidP="00306605">
      <w:pPr>
        <w:pStyle w:val="Bodycopy"/>
        <w:numPr>
          <w:ilvl w:val="0"/>
          <w:numId w:val="8"/>
        </w:numPr>
        <w:rPr>
          <w:rFonts w:ascii="Poppins" w:hAnsi="Poppins" w:cs="Poppins"/>
          <w:sz w:val="21"/>
          <w:szCs w:val="21"/>
        </w:rPr>
      </w:pPr>
      <w:r>
        <w:rPr>
          <w:rFonts w:ascii="Poppins" w:hAnsi="Poppins" w:cs="Poppins"/>
          <w:sz w:val="21"/>
          <w:szCs w:val="21"/>
        </w:rPr>
        <w:t>Examine how dietary components, microbiome diversity, and immune interactions collectively shape CRC risk, identifying key modulators.</w:t>
      </w:r>
    </w:p>
    <w:p w14:paraId="6AD8DAD3" w14:textId="77777777" w:rsidR="00306605" w:rsidRPr="00527A01" w:rsidRDefault="00306605" w:rsidP="00306605">
      <w:pPr>
        <w:pStyle w:val="Bodycopy"/>
        <w:numPr>
          <w:ilvl w:val="0"/>
          <w:numId w:val="8"/>
        </w:numPr>
        <w:rPr>
          <w:rFonts w:ascii="Poppins" w:hAnsi="Poppins" w:cs="Poppins"/>
          <w:sz w:val="21"/>
          <w:szCs w:val="21"/>
        </w:rPr>
      </w:pPr>
      <w:r>
        <w:rPr>
          <w:rFonts w:ascii="Poppins" w:hAnsi="Poppins" w:cs="Poppins"/>
          <w:sz w:val="21"/>
          <w:szCs w:val="21"/>
        </w:rPr>
        <w:t xml:space="preserve">Determine the impact of genetic perturbations on tumour morphology, immune infiltration, and epithelial integrity, and explore dietary and microbial strategies to mitigate these effects. </w:t>
      </w:r>
    </w:p>
    <w:p w14:paraId="1C4FC013" w14:textId="77777777" w:rsidR="00306605" w:rsidRDefault="00306605" w:rsidP="00306605">
      <w:pPr>
        <w:pStyle w:val="Bodycopy"/>
        <w:rPr>
          <w:rFonts w:ascii="Poppins" w:hAnsi="Poppins" w:cs="Poppins"/>
          <w:sz w:val="21"/>
          <w:szCs w:val="21"/>
        </w:rPr>
      </w:pPr>
    </w:p>
    <w:p w14:paraId="3A885046" w14:textId="77777777" w:rsidR="00306605" w:rsidRDefault="00306605" w:rsidP="00306605">
      <w:pPr>
        <w:pStyle w:val="Bodycopy"/>
        <w:rPr>
          <w:rFonts w:ascii="Poppins" w:hAnsi="Poppins" w:cs="Poppins"/>
          <w:sz w:val="21"/>
          <w:szCs w:val="21"/>
        </w:rPr>
      </w:pPr>
      <w:r>
        <w:rPr>
          <w:rFonts w:ascii="Poppins" w:hAnsi="Poppins" w:cs="Poppins"/>
          <w:sz w:val="21"/>
          <w:szCs w:val="21"/>
        </w:rPr>
        <w:t xml:space="preserve">       </w:t>
      </w:r>
      <w:r w:rsidRPr="00187AA6">
        <w:rPr>
          <w:rFonts w:ascii="Poppins" w:hAnsi="Poppins" w:cs="Poppins"/>
          <w:sz w:val="21"/>
          <w:szCs w:val="21"/>
        </w:rPr>
        <w:t>(C)</w:t>
      </w:r>
      <w:r>
        <w:rPr>
          <w:rFonts w:ascii="Poppins" w:hAnsi="Poppins" w:cs="Poppins"/>
          <w:sz w:val="21"/>
          <w:szCs w:val="21"/>
        </w:rPr>
        <w:t xml:space="preserve">      Translating exploratory research into clinical insights:</w:t>
      </w:r>
    </w:p>
    <w:p w14:paraId="1A7C7030" w14:textId="77777777" w:rsidR="00306605" w:rsidRPr="00550E4E" w:rsidRDefault="00306605" w:rsidP="00306605">
      <w:pPr>
        <w:pStyle w:val="Bodycopy"/>
        <w:numPr>
          <w:ilvl w:val="0"/>
          <w:numId w:val="5"/>
        </w:numPr>
        <w:rPr>
          <w:rFonts w:ascii="Poppins" w:hAnsi="Poppins" w:cs="Poppins"/>
          <w:b/>
          <w:bCs/>
          <w:sz w:val="21"/>
          <w:szCs w:val="21"/>
        </w:rPr>
      </w:pPr>
      <w:r>
        <w:rPr>
          <w:rFonts w:ascii="Poppins" w:hAnsi="Poppins" w:cs="Poppins"/>
          <w:sz w:val="21"/>
          <w:szCs w:val="21"/>
        </w:rPr>
        <w:t xml:space="preserve">Utilize multiple colorectal cancer datasets, including INCISE, adenoma cohort, the colorectal cancer GRI TMA cohort, colorectal cancer budding information, as well as emerging cohorts (Glasgow and Edinburgh) which include primary tumour, adjacent normal tissue, metastasis data, and therapy response information. This will allow for comprehensive analysis of CRC risk </w:t>
      </w:r>
      <w:proofErr w:type="spellStart"/>
      <w:r>
        <w:rPr>
          <w:rFonts w:ascii="Poppins" w:hAnsi="Poppins" w:cs="Poppins"/>
          <w:sz w:val="21"/>
          <w:szCs w:val="21"/>
        </w:rPr>
        <w:t>eQTL</w:t>
      </w:r>
      <w:proofErr w:type="spellEnd"/>
      <w:r>
        <w:rPr>
          <w:rFonts w:ascii="Poppins" w:hAnsi="Poppins" w:cs="Poppins"/>
          <w:sz w:val="21"/>
          <w:szCs w:val="21"/>
        </w:rPr>
        <w:t xml:space="preserve"> expression across different clinical contexts. </w:t>
      </w:r>
    </w:p>
    <w:p w14:paraId="32E8A459" w14:textId="77777777" w:rsidR="00306605" w:rsidRPr="00550E4E" w:rsidRDefault="00306605" w:rsidP="00306605">
      <w:pPr>
        <w:pStyle w:val="Bodycopy"/>
        <w:numPr>
          <w:ilvl w:val="0"/>
          <w:numId w:val="5"/>
        </w:numPr>
        <w:rPr>
          <w:rFonts w:ascii="Poppins" w:hAnsi="Poppins" w:cs="Poppins"/>
          <w:b/>
          <w:bCs/>
          <w:sz w:val="21"/>
          <w:szCs w:val="21"/>
        </w:rPr>
      </w:pPr>
      <w:r>
        <w:rPr>
          <w:rFonts w:ascii="Poppins" w:hAnsi="Poppins" w:cs="Poppins"/>
          <w:sz w:val="21"/>
          <w:szCs w:val="21"/>
        </w:rPr>
        <w:t xml:space="preserve">Integrate CRC risk </w:t>
      </w:r>
      <w:proofErr w:type="spellStart"/>
      <w:r>
        <w:rPr>
          <w:rFonts w:ascii="Poppins" w:hAnsi="Poppins" w:cs="Poppins"/>
          <w:sz w:val="21"/>
          <w:szCs w:val="21"/>
        </w:rPr>
        <w:t>eQTL</w:t>
      </w:r>
      <w:proofErr w:type="spellEnd"/>
      <w:r>
        <w:rPr>
          <w:rFonts w:ascii="Poppins" w:hAnsi="Poppins" w:cs="Poppins"/>
          <w:sz w:val="21"/>
          <w:szCs w:val="21"/>
        </w:rPr>
        <w:t xml:space="preserve"> expression with survival outcomes, tumour morphology, and immune phenotypes to refine CRC risk models and subtyping.</w:t>
      </w:r>
    </w:p>
    <w:p w14:paraId="21F5CC0A" w14:textId="77777777" w:rsidR="00306605" w:rsidRPr="00550E4E" w:rsidRDefault="00306605" w:rsidP="00306605">
      <w:pPr>
        <w:pStyle w:val="Bodycopy"/>
        <w:numPr>
          <w:ilvl w:val="0"/>
          <w:numId w:val="5"/>
        </w:numPr>
        <w:rPr>
          <w:rFonts w:ascii="Poppins" w:hAnsi="Poppins" w:cs="Poppins"/>
          <w:b/>
          <w:bCs/>
          <w:sz w:val="21"/>
          <w:szCs w:val="21"/>
        </w:rPr>
      </w:pPr>
      <w:r>
        <w:rPr>
          <w:rFonts w:ascii="Poppins" w:hAnsi="Poppins" w:cs="Poppins"/>
          <w:sz w:val="21"/>
          <w:szCs w:val="21"/>
        </w:rPr>
        <w:t xml:space="preserve">Profile </w:t>
      </w:r>
      <w:proofErr w:type="spellStart"/>
      <w:r>
        <w:rPr>
          <w:rFonts w:ascii="Poppins" w:hAnsi="Poppins" w:cs="Poppins"/>
          <w:sz w:val="21"/>
          <w:szCs w:val="21"/>
        </w:rPr>
        <w:t>eQTL</w:t>
      </w:r>
      <w:proofErr w:type="spellEnd"/>
      <w:r>
        <w:rPr>
          <w:rFonts w:ascii="Poppins" w:hAnsi="Poppins" w:cs="Poppins"/>
          <w:sz w:val="21"/>
          <w:szCs w:val="21"/>
        </w:rPr>
        <w:t xml:space="preserve"> expression across adenoma, Stages I-IV, metastasis, and normal colorectal epithelium to track molecular changes through the development of CRC.</w:t>
      </w:r>
    </w:p>
    <w:p w14:paraId="6DA17013" w14:textId="77777777" w:rsidR="00306605" w:rsidRPr="00897A08" w:rsidRDefault="00306605" w:rsidP="00306605">
      <w:pPr>
        <w:pStyle w:val="Bodycopy"/>
        <w:numPr>
          <w:ilvl w:val="0"/>
          <w:numId w:val="5"/>
        </w:numPr>
        <w:rPr>
          <w:rFonts w:ascii="Poppins" w:hAnsi="Poppins" w:cs="Poppins"/>
          <w:b/>
          <w:bCs/>
          <w:sz w:val="21"/>
          <w:szCs w:val="21"/>
        </w:rPr>
      </w:pPr>
      <w:r>
        <w:rPr>
          <w:rFonts w:ascii="Poppins" w:hAnsi="Poppins" w:cs="Poppins"/>
          <w:sz w:val="21"/>
          <w:szCs w:val="21"/>
        </w:rPr>
        <w:t xml:space="preserve">Develop AI-based image analysis pipelines to integrate morphological and molecular data, leveraging available datasets to validate predictive models and improve precision in CRC diagnosis. </w:t>
      </w:r>
    </w:p>
    <w:p w14:paraId="65557DF0" w14:textId="77777777" w:rsidR="00306605" w:rsidRDefault="00306605" w:rsidP="00306605">
      <w:pPr>
        <w:pStyle w:val="Bodycopy"/>
        <w:rPr>
          <w:rFonts w:ascii="Poppins" w:hAnsi="Poppins" w:cs="Poppins"/>
          <w:sz w:val="21"/>
          <w:szCs w:val="21"/>
        </w:rPr>
      </w:pPr>
    </w:p>
    <w:p w14:paraId="1BCD55E7" w14:textId="77777777" w:rsidR="00306605" w:rsidRDefault="00306605" w:rsidP="00306605">
      <w:pPr>
        <w:pStyle w:val="Bodycopy"/>
        <w:rPr>
          <w:rFonts w:ascii="Poppins" w:hAnsi="Poppins" w:cs="Poppins"/>
          <w:sz w:val="21"/>
          <w:szCs w:val="21"/>
        </w:rPr>
      </w:pPr>
      <w:r>
        <w:rPr>
          <w:rFonts w:ascii="Poppins" w:hAnsi="Poppins" w:cs="Poppins"/>
          <w:sz w:val="21"/>
          <w:szCs w:val="21"/>
        </w:rPr>
        <w:t xml:space="preserve">The CRC risk </w:t>
      </w:r>
      <w:proofErr w:type="spellStart"/>
      <w:r>
        <w:rPr>
          <w:rFonts w:ascii="Poppins" w:hAnsi="Poppins" w:cs="Poppins"/>
          <w:sz w:val="21"/>
          <w:szCs w:val="21"/>
        </w:rPr>
        <w:t>eQTLS</w:t>
      </w:r>
      <w:proofErr w:type="spellEnd"/>
      <w:r>
        <w:rPr>
          <w:rFonts w:ascii="Poppins" w:hAnsi="Poppins" w:cs="Poppins"/>
          <w:sz w:val="21"/>
          <w:szCs w:val="21"/>
        </w:rPr>
        <w:t xml:space="preserve"> being explored are: </w:t>
      </w:r>
    </w:p>
    <w:p w14:paraId="2F65401B" w14:textId="77777777" w:rsidR="00306605" w:rsidRPr="00691910" w:rsidRDefault="00306605" w:rsidP="00306605">
      <w:pPr>
        <w:pStyle w:val="Bodycopy"/>
        <w:numPr>
          <w:ilvl w:val="0"/>
          <w:numId w:val="6"/>
        </w:numPr>
        <w:rPr>
          <w:rFonts w:ascii="Poppins" w:hAnsi="Poppins" w:cs="Poppins"/>
          <w:b/>
          <w:bCs/>
          <w:sz w:val="21"/>
          <w:szCs w:val="21"/>
        </w:rPr>
      </w:pPr>
      <w:r w:rsidRPr="00127BF5">
        <w:rPr>
          <w:rFonts w:ascii="Poppins" w:hAnsi="Poppins" w:cs="Poppins"/>
          <w:i/>
          <w:iCs/>
          <w:sz w:val="21"/>
          <w:szCs w:val="21"/>
        </w:rPr>
        <w:t xml:space="preserve">SHROOM2 </w:t>
      </w:r>
      <w:r>
        <w:rPr>
          <w:rFonts w:ascii="Poppins" w:hAnsi="Poppins" w:cs="Poppins"/>
          <w:sz w:val="21"/>
          <w:szCs w:val="21"/>
        </w:rPr>
        <w:t>(Xp22): Plays a role in cytoskeletal organization and intestinal epithelial integrity.</w:t>
      </w:r>
    </w:p>
    <w:p w14:paraId="5A5926B2" w14:textId="77777777" w:rsidR="00306605" w:rsidRPr="00691910" w:rsidRDefault="00306605" w:rsidP="00306605">
      <w:pPr>
        <w:pStyle w:val="Bodycopy"/>
        <w:numPr>
          <w:ilvl w:val="0"/>
          <w:numId w:val="6"/>
        </w:numPr>
        <w:rPr>
          <w:rFonts w:ascii="Poppins" w:hAnsi="Poppins" w:cs="Poppins"/>
          <w:b/>
          <w:bCs/>
          <w:sz w:val="21"/>
          <w:szCs w:val="21"/>
        </w:rPr>
      </w:pPr>
      <w:r w:rsidRPr="00127BF5">
        <w:rPr>
          <w:rFonts w:ascii="Poppins" w:hAnsi="Poppins" w:cs="Poppins"/>
          <w:i/>
          <w:iCs/>
          <w:sz w:val="21"/>
          <w:szCs w:val="21"/>
        </w:rPr>
        <w:t>FUT2</w:t>
      </w:r>
      <w:r>
        <w:rPr>
          <w:rFonts w:ascii="Poppins" w:hAnsi="Poppins" w:cs="Poppins"/>
          <w:sz w:val="21"/>
          <w:szCs w:val="21"/>
        </w:rPr>
        <w:t xml:space="preserve"> (19q13): Plays a role in mucosal glycosylation, immune regulation and microbiome composition.</w:t>
      </w:r>
    </w:p>
    <w:p w14:paraId="292E612B" w14:textId="77777777" w:rsidR="00306605" w:rsidRPr="00691910" w:rsidRDefault="00306605" w:rsidP="00306605">
      <w:pPr>
        <w:pStyle w:val="Bodycopy"/>
        <w:numPr>
          <w:ilvl w:val="0"/>
          <w:numId w:val="6"/>
        </w:numPr>
        <w:rPr>
          <w:rFonts w:ascii="Poppins" w:hAnsi="Poppins" w:cs="Poppins"/>
          <w:b/>
          <w:bCs/>
          <w:sz w:val="21"/>
          <w:szCs w:val="21"/>
        </w:rPr>
      </w:pPr>
      <w:r w:rsidRPr="00127BF5">
        <w:rPr>
          <w:rFonts w:ascii="Poppins" w:hAnsi="Poppins" w:cs="Poppins"/>
          <w:i/>
          <w:iCs/>
          <w:sz w:val="21"/>
          <w:szCs w:val="21"/>
        </w:rPr>
        <w:t>POU2AF2</w:t>
      </w:r>
      <w:r>
        <w:rPr>
          <w:rFonts w:ascii="Poppins" w:hAnsi="Poppins" w:cs="Poppins"/>
          <w:sz w:val="21"/>
          <w:szCs w:val="21"/>
        </w:rPr>
        <w:t xml:space="preserve"> (11q23): Plays a role in abundance of tuft cells in colonic epithelium and affects tumorigenesis and survival in a well-studied CRC mouse model (</w:t>
      </w:r>
      <w:proofErr w:type="spellStart"/>
      <w:r>
        <w:rPr>
          <w:rFonts w:ascii="Poppins" w:hAnsi="Poppins" w:cs="Poppins"/>
          <w:sz w:val="21"/>
          <w:szCs w:val="21"/>
        </w:rPr>
        <w:t>ApcMin</w:t>
      </w:r>
      <w:proofErr w:type="spellEnd"/>
      <w:r>
        <w:rPr>
          <w:rFonts w:ascii="Poppins" w:hAnsi="Poppins" w:cs="Poppins"/>
          <w:sz w:val="21"/>
          <w:szCs w:val="21"/>
        </w:rPr>
        <w:t xml:space="preserve">/+). </w:t>
      </w:r>
    </w:p>
    <w:p w14:paraId="735274AD" w14:textId="77777777" w:rsidR="00306605" w:rsidRDefault="00306605" w:rsidP="00306605">
      <w:pPr>
        <w:pStyle w:val="Bodycopy"/>
        <w:rPr>
          <w:rFonts w:ascii="Poppins" w:hAnsi="Poppins" w:cs="Poppins"/>
          <w:b/>
          <w:bCs/>
          <w:sz w:val="21"/>
          <w:szCs w:val="21"/>
        </w:rPr>
      </w:pPr>
    </w:p>
    <w:p w14:paraId="1B9C0FAB" w14:textId="09A1AA89" w:rsidR="00FD38A7" w:rsidRDefault="00306605" w:rsidP="00FC22E0">
      <w:pPr>
        <w:jc w:val="both"/>
        <w:rPr>
          <w:sz w:val="22"/>
          <w:szCs w:val="22"/>
        </w:rPr>
      </w:pPr>
      <w:r>
        <w:rPr>
          <w:rFonts w:ascii="Poppins" w:hAnsi="Poppins" w:cs="Poppins"/>
          <w:sz w:val="21"/>
          <w:szCs w:val="21"/>
        </w:rPr>
        <w:t xml:space="preserve">This project directly addresses cancer inequalities by integrating diverse risk factors such as genetics, sex-specific traits, and environmental influences, with a mechanistic and translational framework. With the use of cutting-edge </w:t>
      </w:r>
      <w:r w:rsidRPr="00691910">
        <w:rPr>
          <w:rFonts w:ascii="Poppins" w:hAnsi="Poppins" w:cs="Poppins"/>
          <w:i/>
          <w:iCs/>
          <w:sz w:val="21"/>
          <w:szCs w:val="21"/>
        </w:rPr>
        <w:t>in vivo</w:t>
      </w:r>
      <w:r w:rsidRPr="00691910">
        <w:rPr>
          <w:rFonts w:ascii="Poppins" w:hAnsi="Poppins" w:cs="Poppins"/>
          <w:sz w:val="21"/>
          <w:szCs w:val="21"/>
        </w:rPr>
        <w:t xml:space="preserve">, </w:t>
      </w:r>
      <w:r w:rsidRPr="00691910">
        <w:rPr>
          <w:rFonts w:ascii="Poppins" w:hAnsi="Poppins" w:cs="Poppins"/>
          <w:i/>
          <w:iCs/>
          <w:sz w:val="21"/>
          <w:szCs w:val="21"/>
        </w:rPr>
        <w:t>ex vivo</w:t>
      </w:r>
      <w:r w:rsidRPr="00691910">
        <w:rPr>
          <w:rFonts w:ascii="Poppins" w:hAnsi="Poppins" w:cs="Poppins"/>
          <w:sz w:val="21"/>
          <w:szCs w:val="21"/>
        </w:rPr>
        <w:t>,</w:t>
      </w:r>
      <w:r>
        <w:rPr>
          <w:rFonts w:ascii="Poppins" w:hAnsi="Poppins" w:cs="Poppins"/>
          <w:sz w:val="21"/>
          <w:szCs w:val="21"/>
        </w:rPr>
        <w:t xml:space="preserve"> and computational approaches, this research aims to generate actionable insights for CRC risk stratification and targeted therapy strategies.</w:t>
      </w:r>
    </w:p>
    <w:p w14:paraId="405B31F7" w14:textId="77777777" w:rsidR="00FD38A7" w:rsidRDefault="00FD38A7" w:rsidP="00FC22E0">
      <w:pPr>
        <w:jc w:val="both"/>
        <w:rPr>
          <w:sz w:val="22"/>
          <w:szCs w:val="22"/>
        </w:rPr>
      </w:pPr>
    </w:p>
    <w:p w14:paraId="0598B6F0" w14:textId="77777777" w:rsidR="00FD38A7" w:rsidRDefault="00FD38A7" w:rsidP="00FC22E0">
      <w:pPr>
        <w:jc w:val="both"/>
        <w:rPr>
          <w:sz w:val="22"/>
          <w:szCs w:val="22"/>
        </w:rPr>
      </w:pPr>
    </w:p>
    <w:p w14:paraId="4C18BE3A" w14:textId="77777777" w:rsidR="00FD38A7" w:rsidRPr="00FD38A7" w:rsidRDefault="00FD38A7" w:rsidP="00FC22E0">
      <w:pPr>
        <w:jc w:val="both"/>
        <w:rPr>
          <w:sz w:val="22"/>
          <w:szCs w:val="22"/>
        </w:rPr>
      </w:pPr>
    </w:p>
    <w:p w14:paraId="4E0669DE" w14:textId="41897FE2" w:rsidR="00DD4417" w:rsidRPr="00FD38A7" w:rsidRDefault="00A40DCB" w:rsidP="00FC22E0">
      <w:pPr>
        <w:jc w:val="both"/>
        <w:rPr>
          <w:b/>
          <w:bCs/>
          <w:sz w:val="22"/>
          <w:szCs w:val="22"/>
        </w:rPr>
      </w:pPr>
      <w:r w:rsidRPr="00FD38A7">
        <w:rPr>
          <w:b/>
          <w:bCs/>
          <w:sz w:val="22"/>
          <w:szCs w:val="22"/>
        </w:rPr>
        <w:t>Relevance to Cancer:</w:t>
      </w:r>
      <w:r w:rsidR="002623D6" w:rsidRPr="00FD38A7">
        <w:rPr>
          <w:b/>
          <w:bCs/>
          <w:sz w:val="22"/>
          <w:szCs w:val="22"/>
        </w:rPr>
        <w:t xml:space="preserve"> </w:t>
      </w:r>
      <w:r w:rsidR="002623D6" w:rsidRPr="00FD38A7">
        <w:rPr>
          <w:b/>
          <w:bCs/>
          <w:sz w:val="22"/>
          <w:szCs w:val="22"/>
        </w:rPr>
        <w:tab/>
      </w:r>
    </w:p>
    <w:p w14:paraId="411913AA" w14:textId="34328FF5" w:rsidR="00306605" w:rsidRPr="00454C37" w:rsidRDefault="00306605" w:rsidP="00306605">
      <w:pPr>
        <w:jc w:val="both"/>
        <w:rPr>
          <w:rFonts w:ascii="Poppins" w:hAnsi="Poppins" w:cs="Poppins"/>
          <w:b/>
          <w:bCs/>
          <w:sz w:val="22"/>
          <w:szCs w:val="22"/>
        </w:rPr>
      </w:pPr>
      <w:r w:rsidRPr="00454C37">
        <w:rPr>
          <w:rFonts w:ascii="Poppins" w:hAnsi="Poppins" w:cs="Poppins"/>
          <w:sz w:val="22"/>
          <w:szCs w:val="22"/>
        </w:rPr>
        <w:t xml:space="preserve">The outlined research has significant relevance to cancer, particularly colorectal cancer, due to its impact on health and well-being. Interestingly, the risk loci are also linked with other </w:t>
      </w:r>
      <w:r w:rsidR="005D6DB5" w:rsidRPr="00454C37">
        <w:rPr>
          <w:rFonts w:ascii="Poppins" w:hAnsi="Poppins" w:cs="Poppins"/>
          <w:sz w:val="22"/>
          <w:szCs w:val="22"/>
        </w:rPr>
        <w:t>areas –</w:t>
      </w:r>
      <w:r w:rsidRPr="00454C37">
        <w:rPr>
          <w:rFonts w:ascii="Poppins" w:hAnsi="Poppins" w:cs="Poppins"/>
          <w:sz w:val="22"/>
          <w:szCs w:val="22"/>
        </w:rPr>
        <w:t xml:space="preserve"> pancreatic/gynaecological cancer/health inequity.</w:t>
      </w:r>
    </w:p>
    <w:p w14:paraId="0137BCDB" w14:textId="2B94B239" w:rsidR="00FD38A7" w:rsidRDefault="00306605" w:rsidP="00306605">
      <w:pPr>
        <w:jc w:val="both"/>
        <w:rPr>
          <w:sz w:val="22"/>
          <w:szCs w:val="22"/>
        </w:rPr>
      </w:pPr>
      <w:r w:rsidRPr="00454C37">
        <w:rPr>
          <w:rFonts w:ascii="Poppins" w:hAnsi="Poppins" w:cs="Poppins"/>
          <w:sz w:val="22"/>
          <w:szCs w:val="22"/>
        </w:rPr>
        <w:t xml:space="preserve">Investigating the mechanisms underlying the sexually dimorphic phenotype observed in the mouse models can provide crucial insights into the early stages of tumour formation, addressing ‘cancer </w:t>
      </w:r>
      <w:proofErr w:type="gramStart"/>
      <w:r w:rsidRPr="00454C37">
        <w:rPr>
          <w:rFonts w:ascii="Poppins" w:hAnsi="Poppins" w:cs="Poppins"/>
          <w:sz w:val="22"/>
          <w:szCs w:val="22"/>
        </w:rPr>
        <w:t>inequalities’</w:t>
      </w:r>
      <w:proofErr w:type="gramEnd"/>
      <w:r w:rsidRPr="00454C37">
        <w:rPr>
          <w:rFonts w:ascii="Poppins" w:hAnsi="Poppins" w:cs="Poppins"/>
          <w:sz w:val="22"/>
          <w:szCs w:val="22"/>
        </w:rPr>
        <w:t xml:space="preserve">. We are also using ‘model systems’ to address CRC risk loci and the </w:t>
      </w:r>
      <w:r w:rsidRPr="00454C37">
        <w:rPr>
          <w:rFonts w:ascii="Poppins" w:hAnsi="Poppins" w:cs="Poppins"/>
          <w:i/>
          <w:iCs/>
          <w:sz w:val="22"/>
          <w:szCs w:val="22"/>
        </w:rPr>
        <w:t>in vivo</w:t>
      </w:r>
      <w:r w:rsidRPr="00454C37">
        <w:rPr>
          <w:rFonts w:ascii="Poppins" w:hAnsi="Poppins" w:cs="Poppins"/>
          <w:sz w:val="22"/>
          <w:szCs w:val="22"/>
        </w:rPr>
        <w:t xml:space="preserve"> models generated, have altered intestinal and tumour phenotypes. These models will help us understand initiation and progression of CRC, targeting the strategic area of ‘early biology’. To understand the genes and the phenotypes produced, we are utilising large human datasets, collected, curated and analysed from both </w:t>
      </w:r>
      <w:r w:rsidR="005D6DB5">
        <w:rPr>
          <w:rFonts w:ascii="Poppins" w:hAnsi="Poppins" w:cs="Poppins"/>
          <w:sz w:val="22"/>
          <w:szCs w:val="22"/>
        </w:rPr>
        <w:t xml:space="preserve">Edinburgh and Glasgow </w:t>
      </w:r>
      <w:r w:rsidRPr="00454C37">
        <w:rPr>
          <w:rFonts w:ascii="Poppins" w:hAnsi="Poppins" w:cs="Poppins"/>
          <w:sz w:val="22"/>
          <w:szCs w:val="22"/>
        </w:rPr>
        <w:t>sites, with various -</w:t>
      </w:r>
      <w:proofErr w:type="spellStart"/>
      <w:r w:rsidRPr="00454C37">
        <w:rPr>
          <w:rFonts w:ascii="Poppins" w:hAnsi="Poppins" w:cs="Poppins"/>
          <w:sz w:val="22"/>
          <w:szCs w:val="22"/>
        </w:rPr>
        <w:t>omic</w:t>
      </w:r>
      <w:proofErr w:type="spellEnd"/>
      <w:r w:rsidRPr="00454C37">
        <w:rPr>
          <w:rFonts w:ascii="Poppins" w:hAnsi="Poppins" w:cs="Poppins"/>
          <w:sz w:val="22"/>
          <w:szCs w:val="22"/>
        </w:rPr>
        <w:t xml:space="preserve"> approaches, which aligns with the Centre’s ‘data scienc</w:t>
      </w:r>
      <w:r w:rsidRPr="00332D3C">
        <w:rPr>
          <w:rFonts w:ascii="Poppins" w:hAnsi="Poppins" w:cs="Poppins"/>
          <w:sz w:val="22"/>
          <w:szCs w:val="22"/>
        </w:rPr>
        <w:t>e</w:t>
      </w:r>
      <w:r w:rsidRPr="00454C37">
        <w:rPr>
          <w:rFonts w:ascii="Poppins" w:hAnsi="Poppins" w:cs="Poppins"/>
          <w:sz w:val="22"/>
          <w:szCs w:val="22"/>
        </w:rPr>
        <w:t xml:space="preserve">’ focus through multi-omics and AI-driven analysis. These efforts fit </w:t>
      </w:r>
      <w:r w:rsidR="005D6DB5">
        <w:rPr>
          <w:rFonts w:ascii="Poppins" w:hAnsi="Poppins" w:cs="Poppins"/>
          <w:sz w:val="22"/>
          <w:szCs w:val="22"/>
        </w:rPr>
        <w:t>in with</w:t>
      </w:r>
      <w:r w:rsidRPr="00454C37">
        <w:rPr>
          <w:rFonts w:ascii="Poppins" w:hAnsi="Poppins" w:cs="Poppins"/>
          <w:sz w:val="22"/>
          <w:szCs w:val="22"/>
        </w:rPr>
        <w:t xml:space="preserve"> ‘translational impact’, as clinical data will be leveraged to inform targeted interventions for at-risk populations, ultimately advancing cancer treatment strategies.</w:t>
      </w:r>
    </w:p>
    <w:p w14:paraId="5254D5D4" w14:textId="77777777" w:rsidR="00FD38A7" w:rsidRDefault="00FD38A7" w:rsidP="00FC22E0">
      <w:pPr>
        <w:jc w:val="both"/>
        <w:rPr>
          <w:sz w:val="22"/>
          <w:szCs w:val="22"/>
        </w:rPr>
      </w:pPr>
    </w:p>
    <w:p w14:paraId="6C469BD9" w14:textId="77777777" w:rsidR="00FD38A7" w:rsidRPr="00FD38A7" w:rsidRDefault="00FD38A7" w:rsidP="00FC22E0">
      <w:pPr>
        <w:jc w:val="both"/>
        <w:rPr>
          <w:sz w:val="22"/>
          <w:szCs w:val="22"/>
        </w:rPr>
      </w:pPr>
    </w:p>
    <w:p w14:paraId="2F33498C" w14:textId="636487AF" w:rsidR="002E79A8" w:rsidRPr="00FD38A7" w:rsidRDefault="00A40DCB" w:rsidP="00FC22E0">
      <w:pPr>
        <w:jc w:val="both"/>
        <w:rPr>
          <w:b/>
          <w:bCs/>
          <w:sz w:val="22"/>
          <w:szCs w:val="22"/>
        </w:rPr>
      </w:pPr>
      <w:r w:rsidRPr="00FD38A7">
        <w:rPr>
          <w:b/>
          <w:bCs/>
          <w:sz w:val="22"/>
          <w:szCs w:val="22"/>
        </w:rPr>
        <w:t>Techniques/model systems</w:t>
      </w:r>
      <w:r w:rsidR="00B402B9">
        <w:rPr>
          <w:b/>
          <w:bCs/>
          <w:sz w:val="22"/>
          <w:szCs w:val="22"/>
        </w:rPr>
        <w:t xml:space="preserve"> to be used</w:t>
      </w:r>
      <w:r w:rsidRPr="00FD38A7">
        <w:rPr>
          <w:b/>
          <w:bCs/>
          <w:sz w:val="22"/>
          <w:szCs w:val="22"/>
        </w:rPr>
        <w:t>:</w:t>
      </w:r>
      <w:r w:rsidR="002623D6" w:rsidRPr="00FD38A7">
        <w:rPr>
          <w:b/>
          <w:bCs/>
          <w:sz w:val="22"/>
          <w:szCs w:val="22"/>
        </w:rPr>
        <w:t xml:space="preserve"> </w:t>
      </w:r>
      <w:r w:rsidR="002623D6" w:rsidRPr="00FD38A7">
        <w:rPr>
          <w:b/>
          <w:bCs/>
          <w:sz w:val="22"/>
          <w:szCs w:val="22"/>
        </w:rPr>
        <w:tab/>
      </w:r>
    </w:p>
    <w:p w14:paraId="22B63917" w14:textId="6B19BFD2" w:rsidR="00B402B9" w:rsidRDefault="00EE217C" w:rsidP="00FC22E0">
      <w:pPr>
        <w:jc w:val="both"/>
        <w:rPr>
          <w:sz w:val="22"/>
          <w:szCs w:val="22"/>
        </w:rPr>
      </w:pPr>
      <w:r w:rsidRPr="00454C37">
        <w:rPr>
          <w:rFonts w:ascii="Poppins" w:hAnsi="Poppins" w:cs="Poppins"/>
          <w:sz w:val="22"/>
          <w:szCs w:val="22"/>
        </w:rPr>
        <w:t>The Colorectal Cancer Theme (JE co-lead) includes the Edinburgh Colorectal Cancer group, a dynamic team of dedicated researchers including scientists, surgeons and bioinformaticians, working collaboratively to identify, understand and potentially influence CRC risk factors</w:t>
      </w:r>
      <w:r>
        <w:rPr>
          <w:rFonts w:ascii="Poppins" w:hAnsi="Poppins" w:cs="Poppins"/>
          <w:sz w:val="22"/>
          <w:szCs w:val="22"/>
        </w:rPr>
        <w:t xml:space="preserve"> and progression</w:t>
      </w:r>
      <w:r w:rsidRPr="00454C37">
        <w:rPr>
          <w:rFonts w:ascii="Poppins" w:hAnsi="Poppins" w:cs="Poppins"/>
          <w:sz w:val="22"/>
          <w:szCs w:val="22"/>
        </w:rPr>
        <w:t>. The successful candidate will receive specialized,</w:t>
      </w:r>
      <w:r w:rsidRPr="00454C37">
        <w:rPr>
          <w:rFonts w:ascii="Poppins" w:hAnsi="Poppins" w:cs="Poppins"/>
          <w:color w:val="333333"/>
          <w:sz w:val="22"/>
          <w:szCs w:val="22"/>
        </w:rPr>
        <w:t xml:space="preserve"> comprehensive training in model systems including in-vivo (mouse models) and ex-vivo systems (organoids) (VRS/SMF/JE). This will encompass intestinal phenotyping, protein analysis, morphological profiling via cell painting, and genomic data generation and analysis (imaging, proteomics, transcriptomics), utilizing R, bioinformatics and AI methodologies (VRS/SMF/JE). </w:t>
      </w:r>
      <w:r w:rsidRPr="00454C37">
        <w:rPr>
          <w:rFonts w:ascii="Poppins" w:hAnsi="Poppins" w:cs="Poppins"/>
          <w:sz w:val="22"/>
          <w:szCs w:val="22"/>
        </w:rPr>
        <w:t>This multidisciplinary training approach will equip the candidate with the skills and expertise needed for CRC genetics research, facilitated by exposure to diverse perspectives and methodologies within the team</w:t>
      </w:r>
      <w:r w:rsidRPr="00454C37">
        <w:rPr>
          <w:rFonts w:ascii="Poppins" w:hAnsi="Poppins" w:cs="Poppins"/>
          <w:color w:val="333333"/>
          <w:sz w:val="22"/>
          <w:szCs w:val="22"/>
        </w:rPr>
        <w:t xml:space="preserve">. The IGC (UoE), has numerous training opportunities including regular presentation platforms and professional development through the Institute of Academic Development. Available courses cover many areas of training support such as </w:t>
      </w:r>
      <w:r w:rsidRPr="00454C37">
        <w:rPr>
          <w:rFonts w:ascii="Poppins" w:hAnsi="Poppins" w:cs="Poppins"/>
          <w:color w:val="333333"/>
          <w:sz w:val="22"/>
          <w:szCs w:val="22"/>
        </w:rPr>
        <w:lastRenderedPageBreak/>
        <w:t xml:space="preserve">good research practices, </w:t>
      </w:r>
      <w:r w:rsidRPr="00454C37">
        <w:rPr>
          <w:rFonts w:ascii="Poppins" w:hAnsi="Poppins" w:cs="Poppins"/>
          <w:sz w:val="22"/>
        </w:rPr>
        <w:t>data management, and scientific communication. Specific modules include designing effective presentation slides conference poster design, how to be an effective researcher, practical project management; presenting with ease – delivering presentations; research, researchers and the media, research ethics and integrity, and thesis writing. The University of Glasgow has equivalent training opportunities (https://www.gla.ac.uk/colleges/mvls/graduateschool/currentpgrstudentinformation/skillstraining/coursecalendar/).</w:t>
      </w:r>
    </w:p>
    <w:p w14:paraId="43B8EC24" w14:textId="77777777" w:rsidR="00B402B9" w:rsidRDefault="00B402B9" w:rsidP="00FC22E0">
      <w:pPr>
        <w:jc w:val="both"/>
        <w:rPr>
          <w:sz w:val="22"/>
          <w:szCs w:val="22"/>
        </w:rPr>
      </w:pPr>
    </w:p>
    <w:p w14:paraId="2847F12E" w14:textId="77777777" w:rsidR="00B402B9" w:rsidRDefault="00B402B9" w:rsidP="00FC22E0">
      <w:pPr>
        <w:jc w:val="both"/>
        <w:rPr>
          <w:sz w:val="22"/>
          <w:szCs w:val="22"/>
        </w:rPr>
      </w:pPr>
    </w:p>
    <w:p w14:paraId="6BD5B96F" w14:textId="77777777" w:rsidR="00FD38A7" w:rsidRPr="00FD38A7" w:rsidRDefault="00FD38A7" w:rsidP="00FC22E0">
      <w:pPr>
        <w:jc w:val="both"/>
        <w:rPr>
          <w:sz w:val="22"/>
          <w:szCs w:val="22"/>
        </w:rPr>
      </w:pPr>
    </w:p>
    <w:p w14:paraId="018C0E15" w14:textId="4D6F2DDA" w:rsidR="002E79A8" w:rsidRPr="00FD38A7" w:rsidRDefault="002E79A8" w:rsidP="00FC22E0">
      <w:pPr>
        <w:jc w:val="both"/>
        <w:rPr>
          <w:b/>
          <w:bCs/>
          <w:sz w:val="22"/>
          <w:szCs w:val="22"/>
        </w:rPr>
      </w:pPr>
      <w:r w:rsidRPr="00FD38A7">
        <w:rPr>
          <w:b/>
          <w:bCs/>
          <w:sz w:val="22"/>
          <w:szCs w:val="22"/>
        </w:rPr>
        <w:t>Papers of interest:</w:t>
      </w:r>
    </w:p>
    <w:p w14:paraId="7C37F84D" w14:textId="77777777" w:rsidR="002E79A8" w:rsidRPr="0007041D" w:rsidRDefault="002E79A8" w:rsidP="00FC22E0">
      <w:pPr>
        <w:jc w:val="both"/>
        <w:rPr>
          <w:sz w:val="22"/>
          <w:szCs w:val="22"/>
        </w:rPr>
      </w:pPr>
    </w:p>
    <w:p w14:paraId="5060F78E" w14:textId="77777777" w:rsidR="00EE217C" w:rsidRPr="0007041D" w:rsidRDefault="004C20F6">
      <w:pPr>
        <w:rPr>
          <w:sz w:val="22"/>
          <w:szCs w:val="22"/>
        </w:rPr>
      </w:pPr>
      <w:r w:rsidRPr="0007041D">
        <w:rPr>
          <w:sz w:val="22"/>
          <w:szCs w:val="22"/>
        </w:rPr>
        <w:t xml:space="preserve"> </w:t>
      </w:r>
    </w:p>
    <w:tbl>
      <w:tblPr>
        <w:tblStyle w:val="GridTable1Light"/>
        <w:tblW w:w="9048" w:type="dxa"/>
        <w:tblLook w:val="04A0" w:firstRow="1" w:lastRow="0" w:firstColumn="1" w:lastColumn="0" w:noHBand="0" w:noVBand="1"/>
      </w:tblPr>
      <w:tblGrid>
        <w:gridCol w:w="992"/>
        <w:gridCol w:w="8056"/>
      </w:tblGrid>
      <w:tr w:rsidR="00EE217C" w:rsidRPr="00EE217C" w14:paraId="1FA8AA00" w14:textId="77777777" w:rsidTr="006D343F">
        <w:trPr>
          <w:cnfStyle w:val="100000000000" w:firstRow="1" w:lastRow="0" w:firstColumn="0" w:lastColumn="0" w:oddVBand="0" w:evenVBand="0" w:oddHBand="0" w:evenHBand="0" w:firstRowFirstColumn="0" w:firstRowLastColumn="0" w:lastRowFirstColumn="0" w:lastRowLastColumn="0"/>
          <w:trHeight w:val="309"/>
        </w:trPr>
        <w:tc>
          <w:tcPr>
            <w:cnfStyle w:val="001000000000" w:firstRow="0" w:lastRow="0" w:firstColumn="1" w:lastColumn="0" w:oddVBand="0" w:evenVBand="0" w:oddHBand="0" w:evenHBand="0" w:firstRowFirstColumn="0" w:firstRowLastColumn="0" w:lastRowFirstColumn="0" w:lastRowLastColumn="0"/>
            <w:tcW w:w="992" w:type="dxa"/>
          </w:tcPr>
          <w:p w14:paraId="3305F35B" w14:textId="77777777" w:rsidR="00EE217C" w:rsidRPr="00EE217C" w:rsidRDefault="00EE217C" w:rsidP="006D343F">
            <w:pPr>
              <w:pStyle w:val="Bodycopy"/>
              <w:rPr>
                <w:rFonts w:ascii="Poppins" w:hAnsi="Poppins" w:cs="Poppins"/>
                <w:b w:val="0"/>
                <w:bCs w:val="0"/>
                <w:sz w:val="22"/>
                <w:szCs w:val="22"/>
              </w:rPr>
            </w:pPr>
            <w:r w:rsidRPr="00EE217C">
              <w:rPr>
                <w:rFonts w:ascii="Poppins" w:hAnsi="Poppins" w:cs="Poppins"/>
                <w:b w:val="0"/>
                <w:bCs w:val="0"/>
                <w:sz w:val="22"/>
                <w:szCs w:val="22"/>
              </w:rPr>
              <w:t>1.</w:t>
            </w:r>
          </w:p>
        </w:tc>
        <w:tc>
          <w:tcPr>
            <w:tcW w:w="8056" w:type="dxa"/>
          </w:tcPr>
          <w:p w14:paraId="0655ABB3" w14:textId="77777777" w:rsidR="00EE217C" w:rsidRPr="00EE217C" w:rsidRDefault="00EE217C" w:rsidP="006D343F">
            <w:pPr>
              <w:cnfStyle w:val="100000000000" w:firstRow="1" w:lastRow="0" w:firstColumn="0" w:lastColumn="0" w:oddVBand="0" w:evenVBand="0" w:oddHBand="0" w:evenHBand="0" w:firstRowFirstColumn="0" w:firstRowLastColumn="0" w:lastRowFirstColumn="0" w:lastRowLastColumn="0"/>
              <w:rPr>
                <w:rFonts w:ascii="Poppins" w:eastAsia="Times New Roman" w:hAnsi="Poppins" w:cs="Poppins"/>
                <w:b w:val="0"/>
                <w:bCs w:val="0"/>
                <w:sz w:val="22"/>
                <w:szCs w:val="22"/>
                <w:shd w:val="clear" w:color="auto" w:fill="FFFFFF"/>
                <w:lang w:eastAsia="en-GB"/>
              </w:rPr>
            </w:pPr>
            <w:r w:rsidRPr="00EE217C">
              <w:rPr>
                <w:rFonts w:ascii="Poppins" w:hAnsi="Poppins" w:cs="Poppins"/>
                <w:b w:val="0"/>
                <w:bCs w:val="0"/>
                <w:sz w:val="22"/>
                <w:szCs w:val="22"/>
              </w:rPr>
              <w:t>Dunlop et al. 2012. Common variation near CDKN1A, POLD3 and SHROOM2 influences colorectal cancer risk. Nature Genetics 44: 770-6</w:t>
            </w:r>
          </w:p>
        </w:tc>
      </w:tr>
      <w:tr w:rsidR="00EE217C" w:rsidRPr="00EE217C" w14:paraId="70FB0B48" w14:textId="77777777" w:rsidTr="006D343F">
        <w:trPr>
          <w:trHeight w:val="308"/>
        </w:trPr>
        <w:tc>
          <w:tcPr>
            <w:cnfStyle w:val="001000000000" w:firstRow="0" w:lastRow="0" w:firstColumn="1" w:lastColumn="0" w:oddVBand="0" w:evenVBand="0" w:oddHBand="0" w:evenHBand="0" w:firstRowFirstColumn="0" w:firstRowLastColumn="0" w:lastRowFirstColumn="0" w:lastRowLastColumn="0"/>
            <w:tcW w:w="992" w:type="dxa"/>
          </w:tcPr>
          <w:p w14:paraId="248E8FC7" w14:textId="77777777" w:rsidR="00EE217C" w:rsidRPr="00EE217C" w:rsidRDefault="00EE217C" w:rsidP="006D343F">
            <w:pPr>
              <w:pStyle w:val="Bodycopy"/>
              <w:rPr>
                <w:rFonts w:ascii="Poppins" w:hAnsi="Poppins" w:cs="Poppins"/>
                <w:b w:val="0"/>
                <w:bCs w:val="0"/>
                <w:sz w:val="22"/>
                <w:szCs w:val="22"/>
              </w:rPr>
            </w:pPr>
            <w:r w:rsidRPr="00EE217C">
              <w:rPr>
                <w:rFonts w:ascii="Poppins" w:hAnsi="Poppins" w:cs="Poppins"/>
                <w:b w:val="0"/>
                <w:bCs w:val="0"/>
                <w:sz w:val="22"/>
                <w:szCs w:val="22"/>
              </w:rPr>
              <w:t>2.</w:t>
            </w:r>
          </w:p>
        </w:tc>
        <w:tc>
          <w:tcPr>
            <w:tcW w:w="8056" w:type="dxa"/>
          </w:tcPr>
          <w:p w14:paraId="0C2E8D9A" w14:textId="77777777" w:rsidR="00EE217C" w:rsidRPr="00EE217C" w:rsidRDefault="00EE217C" w:rsidP="006D343F">
            <w:pPr>
              <w:jc w:val="both"/>
              <w:cnfStyle w:val="000000000000" w:firstRow="0" w:lastRow="0" w:firstColumn="0" w:lastColumn="0" w:oddVBand="0" w:evenVBand="0" w:oddHBand="0" w:evenHBand="0" w:firstRowFirstColumn="0" w:firstRowLastColumn="0" w:lastRowFirstColumn="0" w:lastRowLastColumn="0"/>
              <w:rPr>
                <w:rFonts w:ascii="Poppins" w:hAnsi="Poppins" w:cs="Poppins"/>
                <w:sz w:val="22"/>
                <w:szCs w:val="22"/>
              </w:rPr>
            </w:pPr>
            <w:r w:rsidRPr="00EE217C">
              <w:rPr>
                <w:rFonts w:ascii="Poppins" w:eastAsia="Times New Roman" w:hAnsi="Poppins" w:cs="Poppins"/>
                <w:sz w:val="22"/>
                <w:szCs w:val="22"/>
                <w:lang w:eastAsia="en-GB"/>
              </w:rPr>
              <w:t xml:space="preserve">Harris BT et al. 2022. Transcriptional dynamics of colorectal cancer risk associated variation at 11q23.1 are correlated with tuft cell abundance and marker expression </w:t>
            </w:r>
            <w:r w:rsidRPr="00EE217C">
              <w:rPr>
                <w:rFonts w:ascii="Poppins" w:eastAsia="Times New Roman" w:hAnsi="Poppins" w:cs="Poppins"/>
                <w:i/>
                <w:iCs/>
                <w:sz w:val="22"/>
                <w:szCs w:val="22"/>
                <w:lang w:eastAsia="en-GB"/>
              </w:rPr>
              <w:t xml:space="preserve">in silico. </w:t>
            </w:r>
            <w:r w:rsidRPr="00EE217C">
              <w:rPr>
                <w:rFonts w:ascii="Poppins" w:eastAsia="Times New Roman" w:hAnsi="Poppins" w:cs="Poppins"/>
                <w:sz w:val="22"/>
                <w:szCs w:val="22"/>
                <w:lang w:eastAsia="en-GB"/>
              </w:rPr>
              <w:t>Scientific Rep:</w:t>
            </w:r>
            <w:r w:rsidRPr="00EE217C">
              <w:rPr>
                <w:rFonts w:ascii="Poppins" w:hAnsi="Poppins" w:cs="Poppins"/>
                <w:sz w:val="22"/>
                <w:szCs w:val="22"/>
              </w:rPr>
              <w:t xml:space="preserve"> </w:t>
            </w:r>
            <w:r w:rsidRPr="00EE217C">
              <w:rPr>
                <w:rFonts w:ascii="Poppins" w:eastAsia="Times New Roman" w:hAnsi="Poppins" w:cs="Poppins"/>
                <w:sz w:val="22"/>
                <w:szCs w:val="22"/>
                <w:shd w:val="clear" w:color="auto" w:fill="FFFFFF"/>
                <w:lang w:eastAsia="en-GB"/>
              </w:rPr>
              <w:t>12:13609.</w:t>
            </w:r>
          </w:p>
        </w:tc>
      </w:tr>
      <w:tr w:rsidR="00EE217C" w:rsidRPr="00EE217C" w14:paraId="6AA8EAFB" w14:textId="77777777" w:rsidTr="006D343F">
        <w:trPr>
          <w:trHeight w:val="308"/>
        </w:trPr>
        <w:tc>
          <w:tcPr>
            <w:cnfStyle w:val="001000000000" w:firstRow="0" w:lastRow="0" w:firstColumn="1" w:lastColumn="0" w:oddVBand="0" w:evenVBand="0" w:oddHBand="0" w:evenHBand="0" w:firstRowFirstColumn="0" w:firstRowLastColumn="0" w:lastRowFirstColumn="0" w:lastRowLastColumn="0"/>
            <w:tcW w:w="992" w:type="dxa"/>
          </w:tcPr>
          <w:p w14:paraId="69ECCE27" w14:textId="77777777" w:rsidR="00EE217C" w:rsidRPr="00EE217C" w:rsidRDefault="00EE217C" w:rsidP="006D343F">
            <w:pPr>
              <w:pStyle w:val="Bodycopy"/>
              <w:rPr>
                <w:rFonts w:ascii="Poppins" w:hAnsi="Poppins" w:cs="Poppins"/>
                <w:b w:val="0"/>
                <w:bCs w:val="0"/>
                <w:sz w:val="22"/>
                <w:szCs w:val="22"/>
              </w:rPr>
            </w:pPr>
            <w:r w:rsidRPr="00EE217C">
              <w:rPr>
                <w:rFonts w:ascii="Poppins" w:hAnsi="Poppins" w:cs="Poppins"/>
                <w:b w:val="0"/>
                <w:bCs w:val="0"/>
                <w:sz w:val="22"/>
                <w:szCs w:val="22"/>
              </w:rPr>
              <w:t>3.</w:t>
            </w:r>
          </w:p>
        </w:tc>
        <w:tc>
          <w:tcPr>
            <w:tcW w:w="8056" w:type="dxa"/>
          </w:tcPr>
          <w:p w14:paraId="3CAD97E4" w14:textId="77777777" w:rsidR="00EE217C" w:rsidRPr="00EE217C" w:rsidRDefault="00EE217C" w:rsidP="006D343F">
            <w:pPr>
              <w:cnfStyle w:val="000000000000" w:firstRow="0" w:lastRow="0" w:firstColumn="0" w:lastColumn="0" w:oddVBand="0" w:evenVBand="0" w:oddHBand="0" w:evenHBand="0" w:firstRowFirstColumn="0" w:firstRowLastColumn="0" w:lastRowFirstColumn="0" w:lastRowLastColumn="0"/>
              <w:rPr>
                <w:rFonts w:ascii="Poppins" w:eastAsia="Times New Roman" w:hAnsi="Poppins" w:cs="Poppins"/>
                <w:sz w:val="22"/>
                <w:szCs w:val="22"/>
                <w:shd w:val="clear" w:color="auto" w:fill="FFFFFF"/>
                <w:lang w:eastAsia="en-GB"/>
              </w:rPr>
            </w:pPr>
            <w:r w:rsidRPr="00EE217C">
              <w:rPr>
                <w:rFonts w:ascii="Poppins" w:eastAsia="Times New Roman" w:hAnsi="Poppins" w:cs="Poppins"/>
                <w:sz w:val="22"/>
                <w:szCs w:val="22"/>
                <w:shd w:val="clear" w:color="auto" w:fill="FFFFFF"/>
                <w:lang w:eastAsia="en-GB"/>
              </w:rPr>
              <w:t>Alexander PG et al. 2022. The relationship between the Glasgow Microenvironment Score and markers of epithelial-mesenchymal transition in TNM II-III colorectal cancer. Hum Pathol.:</w:t>
            </w:r>
            <w:proofErr w:type="gramStart"/>
            <w:r w:rsidRPr="00EE217C">
              <w:rPr>
                <w:rFonts w:ascii="Poppins" w:eastAsia="Times New Roman" w:hAnsi="Poppins" w:cs="Poppins"/>
                <w:sz w:val="22"/>
                <w:szCs w:val="22"/>
                <w:shd w:val="clear" w:color="auto" w:fill="FFFFFF"/>
                <w:lang w:eastAsia="en-GB"/>
              </w:rPr>
              <w:t>127:1-11.doi</w:t>
            </w:r>
            <w:proofErr w:type="gramEnd"/>
            <w:r w:rsidRPr="00EE217C">
              <w:rPr>
                <w:rFonts w:ascii="Poppins" w:eastAsia="Times New Roman" w:hAnsi="Poppins" w:cs="Poppins"/>
                <w:sz w:val="22"/>
                <w:szCs w:val="22"/>
                <w:shd w:val="clear" w:color="auto" w:fill="FFFFFF"/>
                <w:lang w:eastAsia="en-GB"/>
              </w:rPr>
              <w:t>: 10.1016/j.humpath.2022.05.012.</w:t>
            </w:r>
          </w:p>
        </w:tc>
      </w:tr>
      <w:tr w:rsidR="00EE217C" w:rsidRPr="00EE217C" w14:paraId="2A2B808F" w14:textId="77777777" w:rsidTr="006D343F">
        <w:trPr>
          <w:trHeight w:val="488"/>
        </w:trPr>
        <w:tc>
          <w:tcPr>
            <w:cnfStyle w:val="001000000000" w:firstRow="0" w:lastRow="0" w:firstColumn="1" w:lastColumn="0" w:oddVBand="0" w:evenVBand="0" w:oddHBand="0" w:evenHBand="0" w:firstRowFirstColumn="0" w:firstRowLastColumn="0" w:lastRowFirstColumn="0" w:lastRowLastColumn="0"/>
            <w:tcW w:w="992" w:type="dxa"/>
          </w:tcPr>
          <w:p w14:paraId="6D4B8143" w14:textId="77777777" w:rsidR="00EE217C" w:rsidRPr="00EE217C" w:rsidRDefault="00EE217C" w:rsidP="006D343F">
            <w:pPr>
              <w:pStyle w:val="Bodycopy"/>
              <w:rPr>
                <w:rFonts w:ascii="Poppins" w:hAnsi="Poppins" w:cs="Poppins"/>
                <w:b w:val="0"/>
                <w:bCs w:val="0"/>
                <w:sz w:val="22"/>
                <w:szCs w:val="22"/>
              </w:rPr>
            </w:pPr>
            <w:r w:rsidRPr="00EE217C">
              <w:rPr>
                <w:rFonts w:ascii="Poppins" w:hAnsi="Poppins" w:cs="Poppins"/>
                <w:b w:val="0"/>
                <w:bCs w:val="0"/>
                <w:sz w:val="22"/>
                <w:szCs w:val="22"/>
              </w:rPr>
              <w:t>4.</w:t>
            </w:r>
          </w:p>
        </w:tc>
        <w:tc>
          <w:tcPr>
            <w:tcW w:w="8056" w:type="dxa"/>
          </w:tcPr>
          <w:p w14:paraId="04AADEA1" w14:textId="77777777" w:rsidR="00EE217C" w:rsidRPr="00EE217C" w:rsidRDefault="00EE217C" w:rsidP="006D343F">
            <w:pPr>
              <w:pStyle w:val="Bodycopy"/>
              <w:cnfStyle w:val="000000000000" w:firstRow="0" w:lastRow="0" w:firstColumn="0" w:lastColumn="0" w:oddVBand="0" w:evenVBand="0" w:oddHBand="0" w:evenHBand="0" w:firstRowFirstColumn="0" w:firstRowLastColumn="0" w:lastRowFirstColumn="0" w:lastRowLastColumn="0"/>
              <w:rPr>
                <w:rFonts w:ascii="Poppins" w:hAnsi="Poppins" w:cs="Poppins"/>
                <w:sz w:val="22"/>
                <w:szCs w:val="22"/>
              </w:rPr>
            </w:pPr>
            <w:r w:rsidRPr="00EE217C">
              <w:rPr>
                <w:rFonts w:ascii="Poppins" w:hAnsi="Poppins" w:cs="Poppins"/>
                <w:sz w:val="22"/>
                <w:szCs w:val="22"/>
                <w:shd w:val="clear" w:color="auto" w:fill="FFFFFF"/>
              </w:rPr>
              <w:t>Fernandez-</w:t>
            </w:r>
            <w:proofErr w:type="spellStart"/>
            <w:r w:rsidRPr="00EE217C">
              <w:rPr>
                <w:rFonts w:ascii="Poppins" w:hAnsi="Poppins" w:cs="Poppins"/>
                <w:sz w:val="22"/>
                <w:szCs w:val="22"/>
                <w:shd w:val="clear" w:color="auto" w:fill="FFFFFF"/>
              </w:rPr>
              <w:t>Rozadilla</w:t>
            </w:r>
            <w:proofErr w:type="spellEnd"/>
            <w:r w:rsidRPr="00EE217C">
              <w:rPr>
                <w:rFonts w:ascii="Poppins" w:hAnsi="Poppins" w:cs="Poppins"/>
                <w:sz w:val="22"/>
                <w:szCs w:val="22"/>
                <w:shd w:val="clear" w:color="auto" w:fill="FFFFFF"/>
              </w:rPr>
              <w:t xml:space="preserve"> C et al. 2023. </w:t>
            </w:r>
            <w:hyperlink r:id="rId6" w:history="1">
              <w:r w:rsidRPr="00EE217C">
                <w:rPr>
                  <w:rStyle w:val="Hyperlink"/>
                  <w:rFonts w:ascii="Poppins" w:hAnsi="Poppins" w:cs="Poppins"/>
                  <w:color w:val="auto"/>
                  <w:sz w:val="22"/>
                  <w:szCs w:val="22"/>
                  <w:shd w:val="clear" w:color="auto" w:fill="FFFFFF"/>
                </w:rPr>
                <w:t>Deciphering colorectal cancer genetics through multi-</w:t>
              </w:r>
              <w:proofErr w:type="spellStart"/>
              <w:r w:rsidRPr="00EE217C">
                <w:rPr>
                  <w:rStyle w:val="Hyperlink"/>
                  <w:rFonts w:ascii="Poppins" w:hAnsi="Poppins" w:cs="Poppins"/>
                  <w:color w:val="auto"/>
                  <w:sz w:val="22"/>
                  <w:szCs w:val="22"/>
                  <w:shd w:val="clear" w:color="auto" w:fill="FFFFFF"/>
                </w:rPr>
                <w:t>omic</w:t>
              </w:r>
              <w:proofErr w:type="spellEnd"/>
              <w:r w:rsidRPr="00EE217C">
                <w:rPr>
                  <w:rStyle w:val="Hyperlink"/>
                  <w:rFonts w:ascii="Poppins" w:hAnsi="Poppins" w:cs="Poppins"/>
                  <w:color w:val="auto"/>
                  <w:sz w:val="22"/>
                  <w:szCs w:val="22"/>
                  <w:shd w:val="clear" w:color="auto" w:fill="FFFFFF"/>
                </w:rPr>
                <w:t xml:space="preserve"> analysis of 100,204 cases and 154,587 controls of European and east Asian ancestries</w:t>
              </w:r>
            </w:hyperlink>
            <w:r w:rsidRPr="00EE217C">
              <w:rPr>
                <w:rFonts w:ascii="Poppins" w:hAnsi="Poppins" w:cs="Poppins"/>
                <w:sz w:val="22"/>
                <w:szCs w:val="22"/>
                <w:shd w:val="clear" w:color="auto" w:fill="FFFFFF"/>
              </w:rPr>
              <w:t>. Nat Genetics 55:89-99.</w:t>
            </w:r>
          </w:p>
        </w:tc>
      </w:tr>
      <w:tr w:rsidR="00EE217C" w:rsidRPr="00EE217C" w14:paraId="5D202744" w14:textId="77777777" w:rsidTr="006D343F">
        <w:trPr>
          <w:trHeight w:val="308"/>
        </w:trPr>
        <w:tc>
          <w:tcPr>
            <w:cnfStyle w:val="001000000000" w:firstRow="0" w:lastRow="0" w:firstColumn="1" w:lastColumn="0" w:oddVBand="0" w:evenVBand="0" w:oddHBand="0" w:evenHBand="0" w:firstRowFirstColumn="0" w:firstRowLastColumn="0" w:lastRowFirstColumn="0" w:lastRowLastColumn="0"/>
            <w:tcW w:w="992" w:type="dxa"/>
          </w:tcPr>
          <w:p w14:paraId="61EFBF05" w14:textId="77777777" w:rsidR="00EE217C" w:rsidRPr="00EE217C" w:rsidRDefault="00EE217C" w:rsidP="006D343F">
            <w:pPr>
              <w:pStyle w:val="Bodycopy"/>
              <w:rPr>
                <w:rFonts w:ascii="Poppins" w:hAnsi="Poppins" w:cs="Poppins"/>
                <w:b w:val="0"/>
                <w:bCs w:val="0"/>
                <w:sz w:val="22"/>
                <w:szCs w:val="22"/>
              </w:rPr>
            </w:pPr>
            <w:r w:rsidRPr="00EE217C">
              <w:rPr>
                <w:rFonts w:ascii="Poppins" w:hAnsi="Poppins" w:cs="Poppins"/>
                <w:b w:val="0"/>
                <w:bCs w:val="0"/>
                <w:sz w:val="22"/>
                <w:szCs w:val="22"/>
              </w:rPr>
              <w:t>5.</w:t>
            </w:r>
          </w:p>
        </w:tc>
        <w:tc>
          <w:tcPr>
            <w:tcW w:w="8056" w:type="dxa"/>
          </w:tcPr>
          <w:p w14:paraId="45801130" w14:textId="77777777" w:rsidR="00EE217C" w:rsidRPr="00EE217C" w:rsidRDefault="00EE217C" w:rsidP="006D343F">
            <w:pPr>
              <w:pStyle w:val="Bodycopy"/>
              <w:cnfStyle w:val="000000000000" w:firstRow="0" w:lastRow="0" w:firstColumn="0" w:lastColumn="0" w:oddVBand="0" w:evenVBand="0" w:oddHBand="0" w:evenHBand="0" w:firstRowFirstColumn="0" w:firstRowLastColumn="0" w:lastRowFirstColumn="0" w:lastRowLastColumn="0"/>
              <w:rPr>
                <w:rFonts w:ascii="Poppins" w:hAnsi="Poppins" w:cs="Poppins"/>
                <w:sz w:val="22"/>
                <w:szCs w:val="22"/>
              </w:rPr>
            </w:pPr>
            <w:r w:rsidRPr="00EE217C">
              <w:rPr>
                <w:rFonts w:ascii="Poppins" w:hAnsi="Poppins" w:cs="Poppins"/>
                <w:sz w:val="22"/>
                <w:szCs w:val="22"/>
                <w:shd w:val="clear" w:color="auto" w:fill="FFFFFF"/>
              </w:rPr>
              <w:t>Rajasekaran V et al. 2024. Genetic variation at 11q23.1 confers colorectal cancer risk by dysregulation of colonic tuft cell transcriptional activator </w:t>
            </w:r>
            <w:r w:rsidRPr="00EE217C">
              <w:rPr>
                <w:rFonts w:ascii="Poppins" w:hAnsi="Poppins" w:cs="Poppins"/>
                <w:i/>
                <w:iCs/>
                <w:sz w:val="22"/>
                <w:szCs w:val="22"/>
                <w:shd w:val="clear" w:color="auto" w:fill="FFFFFF"/>
              </w:rPr>
              <w:t>POU2AF2</w:t>
            </w:r>
            <w:r w:rsidRPr="00EE217C">
              <w:rPr>
                <w:rFonts w:ascii="Poppins" w:hAnsi="Poppins" w:cs="Poppins"/>
                <w:sz w:val="22"/>
                <w:szCs w:val="22"/>
                <w:shd w:val="clear" w:color="auto" w:fill="FFFFFF"/>
              </w:rPr>
              <w:t xml:space="preserve">. Gut. </w:t>
            </w:r>
            <w:r w:rsidRPr="00EE217C">
              <w:rPr>
                <w:rFonts w:ascii="Poppins" w:hAnsi="Poppins" w:cs="Poppins"/>
                <w:spacing w:val="1"/>
                <w:sz w:val="22"/>
                <w:szCs w:val="22"/>
                <w:shd w:val="clear" w:color="auto" w:fill="F9F9F9"/>
              </w:rPr>
              <w:t>gutjnl-2024-332121. doi.org/10.1136/gutjnl-2024-332121</w:t>
            </w:r>
          </w:p>
        </w:tc>
      </w:tr>
    </w:tbl>
    <w:p w14:paraId="6F539C86" w14:textId="1AFBFE8C" w:rsidR="0007041D" w:rsidRPr="0007041D" w:rsidRDefault="0007041D">
      <w:pPr>
        <w:rPr>
          <w:sz w:val="22"/>
          <w:szCs w:val="22"/>
        </w:rPr>
      </w:pPr>
    </w:p>
    <w:sectPr w:rsidR="0007041D" w:rsidRPr="0007041D" w:rsidSect="00FD38A7">
      <w:pgSz w:w="11900" w:h="16840"/>
      <w:pgMar w:top="1440" w:right="1440" w:bottom="1440" w:left="1440"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FranklinGothic-Heavy">
    <w:charset w:val="00"/>
    <w:family w:val="swiss"/>
    <w:pitch w:val="default"/>
    <w:sig w:usb0="00000003" w:usb1="00000000" w:usb2="00000000" w:usb3="00000000" w:csb0="00000001" w:csb1="00000000"/>
  </w:font>
  <w:font w:name="Poppins">
    <w:charset w:val="00"/>
    <w:family w:val="auto"/>
    <w:pitch w:val="variable"/>
    <w:sig w:usb0="00008007" w:usb1="00000000" w:usb2="00000000" w:usb3="00000000" w:csb0="00000093"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200247B" w:usb2="00000009" w:usb3="00000000" w:csb0="000001FF" w:csb1="00000000"/>
  </w:font>
  <w:font w:name="Yu Mincho">
    <w:charset w:val="80"/>
    <w:family w:val="roman"/>
    <w:pitch w:val="variable"/>
    <w:sig w:usb0="800002E7" w:usb1="2AC7FCFF" w:usb2="00000012" w:usb3="00000000" w:csb0="000200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112A77"/>
    <w:multiLevelType w:val="hybridMultilevel"/>
    <w:tmpl w:val="D0560362"/>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 w15:restartNumberingAfterBreak="0">
    <w:nsid w:val="067618D9"/>
    <w:multiLevelType w:val="hybridMultilevel"/>
    <w:tmpl w:val="E31C3AB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3695712"/>
    <w:multiLevelType w:val="hybridMultilevel"/>
    <w:tmpl w:val="0E9CDA3E"/>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 w15:restartNumberingAfterBreak="0">
    <w:nsid w:val="30113D78"/>
    <w:multiLevelType w:val="multilevel"/>
    <w:tmpl w:val="E286BBF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374F12BA"/>
    <w:multiLevelType w:val="hybridMultilevel"/>
    <w:tmpl w:val="CB2E4ABC"/>
    <w:lvl w:ilvl="0" w:tplc="9E56D024">
      <w:start w:val="1"/>
      <w:numFmt w:val="upperLetter"/>
      <w:lvlText w:val="(%1)"/>
      <w:lvlJc w:val="left"/>
      <w:pPr>
        <w:ind w:left="1080" w:hanging="720"/>
      </w:pPr>
      <w:rPr>
        <w:rFonts w:hint="default"/>
        <w:b w:val="0"/>
        <w:bCs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3DD0154F"/>
    <w:multiLevelType w:val="hybridMultilevel"/>
    <w:tmpl w:val="55840978"/>
    <w:lvl w:ilvl="0" w:tplc="ABBCFD5E">
      <w:start w:val="1"/>
      <w:numFmt w:val="bullet"/>
      <w:lvlText w:val="•"/>
      <w:lvlJc w:val="left"/>
      <w:pPr>
        <w:tabs>
          <w:tab w:val="num" w:pos="720"/>
        </w:tabs>
        <w:ind w:left="720" w:hanging="360"/>
      </w:pPr>
      <w:rPr>
        <w:rFonts w:ascii="Arial" w:hAnsi="Arial" w:hint="default"/>
      </w:rPr>
    </w:lvl>
    <w:lvl w:ilvl="1" w:tplc="BEB6BFBC" w:tentative="1">
      <w:start w:val="1"/>
      <w:numFmt w:val="bullet"/>
      <w:lvlText w:val="•"/>
      <w:lvlJc w:val="left"/>
      <w:pPr>
        <w:tabs>
          <w:tab w:val="num" w:pos="1440"/>
        </w:tabs>
        <w:ind w:left="1440" w:hanging="360"/>
      </w:pPr>
      <w:rPr>
        <w:rFonts w:ascii="Arial" w:hAnsi="Arial" w:hint="default"/>
      </w:rPr>
    </w:lvl>
    <w:lvl w:ilvl="2" w:tplc="05F864D6" w:tentative="1">
      <w:start w:val="1"/>
      <w:numFmt w:val="bullet"/>
      <w:lvlText w:val="•"/>
      <w:lvlJc w:val="left"/>
      <w:pPr>
        <w:tabs>
          <w:tab w:val="num" w:pos="2160"/>
        </w:tabs>
        <w:ind w:left="2160" w:hanging="360"/>
      </w:pPr>
      <w:rPr>
        <w:rFonts w:ascii="Arial" w:hAnsi="Arial" w:hint="default"/>
      </w:rPr>
    </w:lvl>
    <w:lvl w:ilvl="3" w:tplc="D37254F0" w:tentative="1">
      <w:start w:val="1"/>
      <w:numFmt w:val="bullet"/>
      <w:lvlText w:val="•"/>
      <w:lvlJc w:val="left"/>
      <w:pPr>
        <w:tabs>
          <w:tab w:val="num" w:pos="2880"/>
        </w:tabs>
        <w:ind w:left="2880" w:hanging="360"/>
      </w:pPr>
      <w:rPr>
        <w:rFonts w:ascii="Arial" w:hAnsi="Arial" w:hint="default"/>
      </w:rPr>
    </w:lvl>
    <w:lvl w:ilvl="4" w:tplc="FA8C4FBE" w:tentative="1">
      <w:start w:val="1"/>
      <w:numFmt w:val="bullet"/>
      <w:lvlText w:val="•"/>
      <w:lvlJc w:val="left"/>
      <w:pPr>
        <w:tabs>
          <w:tab w:val="num" w:pos="3600"/>
        </w:tabs>
        <w:ind w:left="3600" w:hanging="360"/>
      </w:pPr>
      <w:rPr>
        <w:rFonts w:ascii="Arial" w:hAnsi="Arial" w:hint="default"/>
      </w:rPr>
    </w:lvl>
    <w:lvl w:ilvl="5" w:tplc="86C22336" w:tentative="1">
      <w:start w:val="1"/>
      <w:numFmt w:val="bullet"/>
      <w:lvlText w:val="•"/>
      <w:lvlJc w:val="left"/>
      <w:pPr>
        <w:tabs>
          <w:tab w:val="num" w:pos="4320"/>
        </w:tabs>
        <w:ind w:left="4320" w:hanging="360"/>
      </w:pPr>
      <w:rPr>
        <w:rFonts w:ascii="Arial" w:hAnsi="Arial" w:hint="default"/>
      </w:rPr>
    </w:lvl>
    <w:lvl w:ilvl="6" w:tplc="24B0EFA6" w:tentative="1">
      <w:start w:val="1"/>
      <w:numFmt w:val="bullet"/>
      <w:lvlText w:val="•"/>
      <w:lvlJc w:val="left"/>
      <w:pPr>
        <w:tabs>
          <w:tab w:val="num" w:pos="5040"/>
        </w:tabs>
        <w:ind w:left="5040" w:hanging="360"/>
      </w:pPr>
      <w:rPr>
        <w:rFonts w:ascii="Arial" w:hAnsi="Arial" w:hint="default"/>
      </w:rPr>
    </w:lvl>
    <w:lvl w:ilvl="7" w:tplc="37F88964" w:tentative="1">
      <w:start w:val="1"/>
      <w:numFmt w:val="bullet"/>
      <w:lvlText w:val="•"/>
      <w:lvlJc w:val="left"/>
      <w:pPr>
        <w:tabs>
          <w:tab w:val="num" w:pos="5760"/>
        </w:tabs>
        <w:ind w:left="5760" w:hanging="360"/>
      </w:pPr>
      <w:rPr>
        <w:rFonts w:ascii="Arial" w:hAnsi="Arial" w:hint="default"/>
      </w:rPr>
    </w:lvl>
    <w:lvl w:ilvl="8" w:tplc="67D02E6E" w:tentative="1">
      <w:start w:val="1"/>
      <w:numFmt w:val="bullet"/>
      <w:lvlText w:val="•"/>
      <w:lvlJc w:val="left"/>
      <w:pPr>
        <w:tabs>
          <w:tab w:val="num" w:pos="6480"/>
        </w:tabs>
        <w:ind w:left="6480" w:hanging="360"/>
      </w:pPr>
      <w:rPr>
        <w:rFonts w:ascii="Arial" w:hAnsi="Arial" w:hint="default"/>
      </w:rPr>
    </w:lvl>
  </w:abstractNum>
  <w:abstractNum w:abstractNumId="6" w15:restartNumberingAfterBreak="0">
    <w:nsid w:val="41C90B6A"/>
    <w:multiLevelType w:val="hybridMultilevel"/>
    <w:tmpl w:val="2E281750"/>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7" w15:restartNumberingAfterBreak="0">
    <w:nsid w:val="54494913"/>
    <w:multiLevelType w:val="multilevel"/>
    <w:tmpl w:val="3D0448C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3"/>
    <w:lvlOverride w:ilvl="0">
      <w:lvl w:ilvl="0">
        <w:numFmt w:val="bullet"/>
        <w:lvlText w:val=""/>
        <w:lvlJc w:val="left"/>
        <w:pPr>
          <w:tabs>
            <w:tab w:val="num" w:pos="720"/>
          </w:tabs>
          <w:ind w:left="720" w:hanging="360"/>
        </w:pPr>
        <w:rPr>
          <w:rFonts w:ascii="Wingdings" w:hAnsi="Wingdings" w:hint="default"/>
          <w:sz w:val="20"/>
        </w:rPr>
      </w:lvl>
    </w:lvlOverride>
  </w:num>
  <w:num w:numId="2">
    <w:abstractNumId w:val="7"/>
    <w:lvlOverride w:ilvl="0">
      <w:lvl w:ilvl="0">
        <w:numFmt w:val="bullet"/>
        <w:lvlText w:val=""/>
        <w:lvlJc w:val="left"/>
        <w:pPr>
          <w:tabs>
            <w:tab w:val="num" w:pos="720"/>
          </w:tabs>
          <w:ind w:left="720" w:hanging="360"/>
        </w:pPr>
        <w:rPr>
          <w:rFonts w:ascii="Wingdings" w:hAnsi="Wingdings" w:hint="default"/>
          <w:sz w:val="20"/>
        </w:rPr>
      </w:lvl>
    </w:lvlOverride>
  </w:num>
  <w:num w:numId="3">
    <w:abstractNumId w:val="5"/>
  </w:num>
  <w:num w:numId="4">
    <w:abstractNumId w:val="6"/>
  </w:num>
  <w:num w:numId="5">
    <w:abstractNumId w:val="0"/>
  </w:num>
  <w:num w:numId="6">
    <w:abstractNumId w:val="1"/>
  </w:num>
  <w:num w:numId="7">
    <w:abstractNumId w:val="4"/>
  </w:num>
  <w:num w:numId="8">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E79A8"/>
    <w:rsid w:val="00006BCD"/>
    <w:rsid w:val="000142AB"/>
    <w:rsid w:val="00017B08"/>
    <w:rsid w:val="00024713"/>
    <w:rsid w:val="0003779B"/>
    <w:rsid w:val="00044314"/>
    <w:rsid w:val="0004733F"/>
    <w:rsid w:val="00054762"/>
    <w:rsid w:val="00061570"/>
    <w:rsid w:val="0007041D"/>
    <w:rsid w:val="0007166E"/>
    <w:rsid w:val="000764FE"/>
    <w:rsid w:val="000837D6"/>
    <w:rsid w:val="00097D5E"/>
    <w:rsid w:val="000A0508"/>
    <w:rsid w:val="000D5447"/>
    <w:rsid w:val="001017F0"/>
    <w:rsid w:val="0011005A"/>
    <w:rsid w:val="00120842"/>
    <w:rsid w:val="00131A26"/>
    <w:rsid w:val="00133C50"/>
    <w:rsid w:val="00140477"/>
    <w:rsid w:val="00144D9A"/>
    <w:rsid w:val="00181EC0"/>
    <w:rsid w:val="00182EED"/>
    <w:rsid w:val="001843D7"/>
    <w:rsid w:val="00184DDB"/>
    <w:rsid w:val="00185C40"/>
    <w:rsid w:val="0018742E"/>
    <w:rsid w:val="001A195F"/>
    <w:rsid w:val="001A372D"/>
    <w:rsid w:val="001D0E00"/>
    <w:rsid w:val="001D1422"/>
    <w:rsid w:val="001F70D4"/>
    <w:rsid w:val="002035FA"/>
    <w:rsid w:val="00205E88"/>
    <w:rsid w:val="00220AB3"/>
    <w:rsid w:val="00237C02"/>
    <w:rsid w:val="00250B7E"/>
    <w:rsid w:val="002623D6"/>
    <w:rsid w:val="00284AB7"/>
    <w:rsid w:val="00295BD2"/>
    <w:rsid w:val="002A5367"/>
    <w:rsid w:val="002A7313"/>
    <w:rsid w:val="002C1623"/>
    <w:rsid w:val="002C4AD0"/>
    <w:rsid w:val="002D250E"/>
    <w:rsid w:val="002D3F16"/>
    <w:rsid w:val="002D7EE6"/>
    <w:rsid w:val="002E4B35"/>
    <w:rsid w:val="002E79A8"/>
    <w:rsid w:val="00304FE4"/>
    <w:rsid w:val="00306605"/>
    <w:rsid w:val="00307421"/>
    <w:rsid w:val="0031122A"/>
    <w:rsid w:val="00317FAD"/>
    <w:rsid w:val="003274C4"/>
    <w:rsid w:val="00333CCB"/>
    <w:rsid w:val="0036376E"/>
    <w:rsid w:val="003702BF"/>
    <w:rsid w:val="00390CEF"/>
    <w:rsid w:val="0039164B"/>
    <w:rsid w:val="003919AE"/>
    <w:rsid w:val="003A10E0"/>
    <w:rsid w:val="003B7946"/>
    <w:rsid w:val="003C2062"/>
    <w:rsid w:val="003C23D8"/>
    <w:rsid w:val="003C52C7"/>
    <w:rsid w:val="003C6EE1"/>
    <w:rsid w:val="003E7732"/>
    <w:rsid w:val="004058D8"/>
    <w:rsid w:val="00416B1A"/>
    <w:rsid w:val="00417637"/>
    <w:rsid w:val="00420011"/>
    <w:rsid w:val="00421643"/>
    <w:rsid w:val="00421FC2"/>
    <w:rsid w:val="00426765"/>
    <w:rsid w:val="00445C1F"/>
    <w:rsid w:val="00446D40"/>
    <w:rsid w:val="00452D3D"/>
    <w:rsid w:val="004555C8"/>
    <w:rsid w:val="00465F21"/>
    <w:rsid w:val="00470765"/>
    <w:rsid w:val="004834B3"/>
    <w:rsid w:val="004A1214"/>
    <w:rsid w:val="004A4170"/>
    <w:rsid w:val="004B38FE"/>
    <w:rsid w:val="004C20F6"/>
    <w:rsid w:val="004C69DF"/>
    <w:rsid w:val="004D1AAB"/>
    <w:rsid w:val="004E4A29"/>
    <w:rsid w:val="004E7A8B"/>
    <w:rsid w:val="004F6E90"/>
    <w:rsid w:val="0052413F"/>
    <w:rsid w:val="00533869"/>
    <w:rsid w:val="005519AB"/>
    <w:rsid w:val="00552691"/>
    <w:rsid w:val="00552B0E"/>
    <w:rsid w:val="00552C64"/>
    <w:rsid w:val="00556B8A"/>
    <w:rsid w:val="005601BF"/>
    <w:rsid w:val="00572E62"/>
    <w:rsid w:val="00574478"/>
    <w:rsid w:val="00580B79"/>
    <w:rsid w:val="00580F1C"/>
    <w:rsid w:val="00590BEF"/>
    <w:rsid w:val="005B2174"/>
    <w:rsid w:val="005B5315"/>
    <w:rsid w:val="005C1391"/>
    <w:rsid w:val="005C44DC"/>
    <w:rsid w:val="005D42AB"/>
    <w:rsid w:val="005D6DB5"/>
    <w:rsid w:val="005E6340"/>
    <w:rsid w:val="005E6A4B"/>
    <w:rsid w:val="005F3370"/>
    <w:rsid w:val="0061555B"/>
    <w:rsid w:val="00625BAA"/>
    <w:rsid w:val="00631FF1"/>
    <w:rsid w:val="00645115"/>
    <w:rsid w:val="006527AB"/>
    <w:rsid w:val="006644F2"/>
    <w:rsid w:val="0067760A"/>
    <w:rsid w:val="00677C91"/>
    <w:rsid w:val="00687DEB"/>
    <w:rsid w:val="0069141C"/>
    <w:rsid w:val="006A1B96"/>
    <w:rsid w:val="006A688A"/>
    <w:rsid w:val="006C4652"/>
    <w:rsid w:val="006C4A6D"/>
    <w:rsid w:val="006D7718"/>
    <w:rsid w:val="006E7418"/>
    <w:rsid w:val="006F1A4B"/>
    <w:rsid w:val="0070252B"/>
    <w:rsid w:val="00702EF8"/>
    <w:rsid w:val="007213B0"/>
    <w:rsid w:val="00730CFD"/>
    <w:rsid w:val="0074505A"/>
    <w:rsid w:val="00760F13"/>
    <w:rsid w:val="00766A3B"/>
    <w:rsid w:val="00766BA8"/>
    <w:rsid w:val="007674F9"/>
    <w:rsid w:val="00783754"/>
    <w:rsid w:val="0079183B"/>
    <w:rsid w:val="007B1387"/>
    <w:rsid w:val="007B3DB6"/>
    <w:rsid w:val="007E1B8D"/>
    <w:rsid w:val="00806088"/>
    <w:rsid w:val="008234BB"/>
    <w:rsid w:val="00830F86"/>
    <w:rsid w:val="00834F66"/>
    <w:rsid w:val="008435D0"/>
    <w:rsid w:val="008446F7"/>
    <w:rsid w:val="00853A5C"/>
    <w:rsid w:val="00863B41"/>
    <w:rsid w:val="0088111D"/>
    <w:rsid w:val="00883E01"/>
    <w:rsid w:val="008848C9"/>
    <w:rsid w:val="008A01DD"/>
    <w:rsid w:val="008B1292"/>
    <w:rsid w:val="008C7B6F"/>
    <w:rsid w:val="008F05D4"/>
    <w:rsid w:val="0090666A"/>
    <w:rsid w:val="009071E8"/>
    <w:rsid w:val="009119F0"/>
    <w:rsid w:val="00912DB0"/>
    <w:rsid w:val="00927A43"/>
    <w:rsid w:val="009443A5"/>
    <w:rsid w:val="00957354"/>
    <w:rsid w:val="00957F6F"/>
    <w:rsid w:val="009615E1"/>
    <w:rsid w:val="0097223C"/>
    <w:rsid w:val="009A1B38"/>
    <w:rsid w:val="009A24A1"/>
    <w:rsid w:val="009A2E79"/>
    <w:rsid w:val="009A4D07"/>
    <w:rsid w:val="009B3608"/>
    <w:rsid w:val="009C173E"/>
    <w:rsid w:val="009C4F5C"/>
    <w:rsid w:val="009D34FD"/>
    <w:rsid w:val="009E4293"/>
    <w:rsid w:val="009E5CBB"/>
    <w:rsid w:val="009F48E8"/>
    <w:rsid w:val="00A15748"/>
    <w:rsid w:val="00A20648"/>
    <w:rsid w:val="00A209D5"/>
    <w:rsid w:val="00A22819"/>
    <w:rsid w:val="00A40DCB"/>
    <w:rsid w:val="00A54AE9"/>
    <w:rsid w:val="00A61817"/>
    <w:rsid w:val="00A669DB"/>
    <w:rsid w:val="00A67A03"/>
    <w:rsid w:val="00A842A5"/>
    <w:rsid w:val="00AA284E"/>
    <w:rsid w:val="00AC0FF1"/>
    <w:rsid w:val="00AC6F46"/>
    <w:rsid w:val="00AD6F0D"/>
    <w:rsid w:val="00AF1722"/>
    <w:rsid w:val="00B044A3"/>
    <w:rsid w:val="00B26EB5"/>
    <w:rsid w:val="00B30596"/>
    <w:rsid w:val="00B359A2"/>
    <w:rsid w:val="00B402B9"/>
    <w:rsid w:val="00B60679"/>
    <w:rsid w:val="00B6331F"/>
    <w:rsid w:val="00B77342"/>
    <w:rsid w:val="00B777F1"/>
    <w:rsid w:val="00B83B9D"/>
    <w:rsid w:val="00B86BB9"/>
    <w:rsid w:val="00BA0B78"/>
    <w:rsid w:val="00BD5C34"/>
    <w:rsid w:val="00BF0AF2"/>
    <w:rsid w:val="00BF0D1F"/>
    <w:rsid w:val="00BF662F"/>
    <w:rsid w:val="00C032DA"/>
    <w:rsid w:val="00C11429"/>
    <w:rsid w:val="00C12124"/>
    <w:rsid w:val="00C171BF"/>
    <w:rsid w:val="00C449A1"/>
    <w:rsid w:val="00C72052"/>
    <w:rsid w:val="00C77662"/>
    <w:rsid w:val="00C91143"/>
    <w:rsid w:val="00C91D53"/>
    <w:rsid w:val="00CB7B52"/>
    <w:rsid w:val="00CC51FC"/>
    <w:rsid w:val="00CC5F43"/>
    <w:rsid w:val="00CF00FC"/>
    <w:rsid w:val="00D007A3"/>
    <w:rsid w:val="00D0491D"/>
    <w:rsid w:val="00D04B90"/>
    <w:rsid w:val="00D12F03"/>
    <w:rsid w:val="00D16F64"/>
    <w:rsid w:val="00D212C2"/>
    <w:rsid w:val="00D33511"/>
    <w:rsid w:val="00D33778"/>
    <w:rsid w:val="00D33C88"/>
    <w:rsid w:val="00D418EB"/>
    <w:rsid w:val="00D419F8"/>
    <w:rsid w:val="00D434EF"/>
    <w:rsid w:val="00D4618D"/>
    <w:rsid w:val="00D648C5"/>
    <w:rsid w:val="00D66602"/>
    <w:rsid w:val="00D7724C"/>
    <w:rsid w:val="00D876D7"/>
    <w:rsid w:val="00D90B46"/>
    <w:rsid w:val="00DA0B29"/>
    <w:rsid w:val="00DC6DA4"/>
    <w:rsid w:val="00DD4417"/>
    <w:rsid w:val="00DE1EC0"/>
    <w:rsid w:val="00E02046"/>
    <w:rsid w:val="00E0318E"/>
    <w:rsid w:val="00E13311"/>
    <w:rsid w:val="00E14662"/>
    <w:rsid w:val="00E3350B"/>
    <w:rsid w:val="00E35883"/>
    <w:rsid w:val="00E405D3"/>
    <w:rsid w:val="00E43BD1"/>
    <w:rsid w:val="00E446E6"/>
    <w:rsid w:val="00E47654"/>
    <w:rsid w:val="00E67024"/>
    <w:rsid w:val="00E81F95"/>
    <w:rsid w:val="00E863C8"/>
    <w:rsid w:val="00EA4096"/>
    <w:rsid w:val="00EA45DE"/>
    <w:rsid w:val="00EA4991"/>
    <w:rsid w:val="00EB5BC6"/>
    <w:rsid w:val="00EC1725"/>
    <w:rsid w:val="00EC6142"/>
    <w:rsid w:val="00ED4A7A"/>
    <w:rsid w:val="00EE217C"/>
    <w:rsid w:val="00EF0BDF"/>
    <w:rsid w:val="00EF3DD1"/>
    <w:rsid w:val="00EF4062"/>
    <w:rsid w:val="00EF66D0"/>
    <w:rsid w:val="00F071A1"/>
    <w:rsid w:val="00F17804"/>
    <w:rsid w:val="00F235CE"/>
    <w:rsid w:val="00F24FEF"/>
    <w:rsid w:val="00F34F90"/>
    <w:rsid w:val="00F35F41"/>
    <w:rsid w:val="00F400FB"/>
    <w:rsid w:val="00F40232"/>
    <w:rsid w:val="00F60B06"/>
    <w:rsid w:val="00F61510"/>
    <w:rsid w:val="00F62260"/>
    <w:rsid w:val="00F74C0D"/>
    <w:rsid w:val="00F917DB"/>
    <w:rsid w:val="00FA3708"/>
    <w:rsid w:val="00FA3E49"/>
    <w:rsid w:val="00FB3BC7"/>
    <w:rsid w:val="00FB6561"/>
    <w:rsid w:val="00FC22E0"/>
    <w:rsid w:val="00FD38A7"/>
    <w:rsid w:val="00FE0A68"/>
    <w:rsid w:val="00FE3A94"/>
    <w:rsid w:val="00FE66D5"/>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718790CD"/>
  <w15:docId w15:val="{ECFBB682-DE5D-4929-8315-7A30F096F58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en-GB"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1 Light" w:uiPriority="46"/>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2E79A8"/>
    <w:rPr>
      <w:color w:val="0563C1" w:themeColor="hyperlink"/>
      <w:u w:val="single"/>
    </w:rPr>
  </w:style>
  <w:style w:type="character" w:customStyle="1" w:styleId="UnresolvedMention1">
    <w:name w:val="Unresolved Mention1"/>
    <w:basedOn w:val="DefaultParagraphFont"/>
    <w:uiPriority w:val="99"/>
    <w:semiHidden/>
    <w:unhideWhenUsed/>
    <w:rsid w:val="002E79A8"/>
    <w:rPr>
      <w:color w:val="605E5C"/>
      <w:shd w:val="clear" w:color="auto" w:fill="E1DFDD"/>
    </w:rPr>
  </w:style>
  <w:style w:type="character" w:styleId="FollowedHyperlink">
    <w:name w:val="FollowedHyperlink"/>
    <w:basedOn w:val="DefaultParagraphFont"/>
    <w:uiPriority w:val="99"/>
    <w:semiHidden/>
    <w:unhideWhenUsed/>
    <w:rsid w:val="004C20F6"/>
    <w:rPr>
      <w:color w:val="954F72" w:themeColor="followedHyperlink"/>
      <w:u w:val="single"/>
    </w:rPr>
  </w:style>
  <w:style w:type="character" w:styleId="CommentReference">
    <w:name w:val="annotation reference"/>
    <w:basedOn w:val="DefaultParagraphFont"/>
    <w:uiPriority w:val="99"/>
    <w:semiHidden/>
    <w:unhideWhenUsed/>
    <w:rsid w:val="00131A26"/>
    <w:rPr>
      <w:sz w:val="16"/>
      <w:szCs w:val="16"/>
    </w:rPr>
  </w:style>
  <w:style w:type="paragraph" w:styleId="CommentText">
    <w:name w:val="annotation text"/>
    <w:basedOn w:val="Normal"/>
    <w:link w:val="CommentTextChar"/>
    <w:uiPriority w:val="99"/>
    <w:semiHidden/>
    <w:unhideWhenUsed/>
    <w:rsid w:val="00131A26"/>
    <w:rPr>
      <w:sz w:val="20"/>
      <w:szCs w:val="20"/>
    </w:rPr>
  </w:style>
  <w:style w:type="character" w:customStyle="1" w:styleId="CommentTextChar">
    <w:name w:val="Comment Text Char"/>
    <w:basedOn w:val="DefaultParagraphFont"/>
    <w:link w:val="CommentText"/>
    <w:uiPriority w:val="99"/>
    <w:semiHidden/>
    <w:rsid w:val="00131A26"/>
    <w:rPr>
      <w:sz w:val="20"/>
      <w:szCs w:val="20"/>
    </w:rPr>
  </w:style>
  <w:style w:type="paragraph" w:styleId="CommentSubject">
    <w:name w:val="annotation subject"/>
    <w:basedOn w:val="CommentText"/>
    <w:next w:val="CommentText"/>
    <w:link w:val="CommentSubjectChar"/>
    <w:uiPriority w:val="99"/>
    <w:semiHidden/>
    <w:unhideWhenUsed/>
    <w:rsid w:val="00131A26"/>
    <w:rPr>
      <w:b/>
      <w:bCs/>
    </w:rPr>
  </w:style>
  <w:style w:type="character" w:customStyle="1" w:styleId="CommentSubjectChar">
    <w:name w:val="Comment Subject Char"/>
    <w:basedOn w:val="CommentTextChar"/>
    <w:link w:val="CommentSubject"/>
    <w:uiPriority w:val="99"/>
    <w:semiHidden/>
    <w:rsid w:val="00131A26"/>
    <w:rPr>
      <w:b/>
      <w:bCs/>
      <w:sz w:val="20"/>
      <w:szCs w:val="20"/>
    </w:rPr>
  </w:style>
  <w:style w:type="paragraph" w:styleId="BalloonText">
    <w:name w:val="Balloon Text"/>
    <w:basedOn w:val="Normal"/>
    <w:link w:val="BalloonTextChar"/>
    <w:uiPriority w:val="99"/>
    <w:semiHidden/>
    <w:unhideWhenUsed/>
    <w:rsid w:val="00131A26"/>
    <w:rPr>
      <w:rFonts w:ascii="Times New Roman" w:hAnsi="Times New Roman" w:cs="Times New Roman"/>
      <w:sz w:val="18"/>
      <w:szCs w:val="18"/>
    </w:rPr>
  </w:style>
  <w:style w:type="character" w:customStyle="1" w:styleId="BalloonTextChar">
    <w:name w:val="Balloon Text Char"/>
    <w:basedOn w:val="DefaultParagraphFont"/>
    <w:link w:val="BalloonText"/>
    <w:uiPriority w:val="99"/>
    <w:semiHidden/>
    <w:rsid w:val="00131A26"/>
    <w:rPr>
      <w:rFonts w:ascii="Times New Roman" w:hAnsi="Times New Roman" w:cs="Times New Roman"/>
      <w:sz w:val="18"/>
      <w:szCs w:val="18"/>
    </w:rPr>
  </w:style>
  <w:style w:type="paragraph" w:customStyle="1" w:styleId="Bodycopy">
    <w:name w:val="Body copy"/>
    <w:basedOn w:val="Normal"/>
    <w:link w:val="BodycopyChar"/>
    <w:qFormat/>
    <w:rsid w:val="00EE217C"/>
    <w:pPr>
      <w:widowControl w:val="0"/>
      <w:autoSpaceDE w:val="0"/>
      <w:autoSpaceDN w:val="0"/>
      <w:adjustRightInd w:val="0"/>
      <w:spacing w:after="120"/>
      <w:contextualSpacing/>
    </w:pPr>
    <w:rPr>
      <w:rFonts w:cs="Calibri"/>
    </w:rPr>
  </w:style>
  <w:style w:type="character" w:customStyle="1" w:styleId="BodycopyChar">
    <w:name w:val="Body copy Char"/>
    <w:basedOn w:val="DefaultParagraphFont"/>
    <w:link w:val="Bodycopy"/>
    <w:rsid w:val="00EE217C"/>
    <w:rPr>
      <w:rFonts w:cs="Calibri"/>
    </w:rPr>
  </w:style>
  <w:style w:type="table" w:styleId="GridTable1Light">
    <w:name w:val="Grid Table 1 Light"/>
    <w:basedOn w:val="TableNormal"/>
    <w:uiPriority w:val="46"/>
    <w:rsid w:val="00EE217C"/>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15975384">
      <w:bodyDiv w:val="1"/>
      <w:marLeft w:val="0"/>
      <w:marRight w:val="0"/>
      <w:marTop w:val="0"/>
      <w:marBottom w:val="0"/>
      <w:divBdr>
        <w:top w:val="none" w:sz="0" w:space="0" w:color="auto"/>
        <w:left w:val="none" w:sz="0" w:space="0" w:color="auto"/>
        <w:bottom w:val="none" w:sz="0" w:space="0" w:color="auto"/>
        <w:right w:val="none" w:sz="0" w:space="0" w:color="auto"/>
      </w:divBdr>
    </w:div>
    <w:div w:id="448091504">
      <w:bodyDiv w:val="1"/>
      <w:marLeft w:val="0"/>
      <w:marRight w:val="0"/>
      <w:marTop w:val="0"/>
      <w:marBottom w:val="0"/>
      <w:divBdr>
        <w:top w:val="none" w:sz="0" w:space="0" w:color="auto"/>
        <w:left w:val="none" w:sz="0" w:space="0" w:color="auto"/>
        <w:bottom w:val="none" w:sz="0" w:space="0" w:color="auto"/>
        <w:right w:val="none" w:sz="0" w:space="0" w:color="auto"/>
      </w:divBdr>
    </w:div>
    <w:div w:id="461000657">
      <w:bodyDiv w:val="1"/>
      <w:marLeft w:val="0"/>
      <w:marRight w:val="0"/>
      <w:marTop w:val="0"/>
      <w:marBottom w:val="0"/>
      <w:divBdr>
        <w:top w:val="none" w:sz="0" w:space="0" w:color="auto"/>
        <w:left w:val="none" w:sz="0" w:space="0" w:color="auto"/>
        <w:bottom w:val="none" w:sz="0" w:space="0" w:color="auto"/>
        <w:right w:val="none" w:sz="0" w:space="0" w:color="auto"/>
      </w:divBdr>
    </w:div>
    <w:div w:id="1292132630">
      <w:bodyDiv w:val="1"/>
      <w:marLeft w:val="0"/>
      <w:marRight w:val="0"/>
      <w:marTop w:val="0"/>
      <w:marBottom w:val="0"/>
      <w:divBdr>
        <w:top w:val="none" w:sz="0" w:space="0" w:color="auto"/>
        <w:left w:val="none" w:sz="0" w:space="0" w:color="auto"/>
        <w:bottom w:val="none" w:sz="0" w:space="0" w:color="auto"/>
        <w:right w:val="none" w:sz="0" w:space="0" w:color="auto"/>
      </w:divBdr>
    </w:div>
    <w:div w:id="1425154039">
      <w:bodyDiv w:val="1"/>
      <w:marLeft w:val="0"/>
      <w:marRight w:val="0"/>
      <w:marTop w:val="0"/>
      <w:marBottom w:val="0"/>
      <w:divBdr>
        <w:top w:val="none" w:sz="0" w:space="0" w:color="auto"/>
        <w:left w:val="none" w:sz="0" w:space="0" w:color="auto"/>
        <w:bottom w:val="none" w:sz="0" w:space="0" w:color="auto"/>
        <w:right w:val="none" w:sz="0" w:space="0" w:color="auto"/>
      </w:divBdr>
    </w:div>
    <w:div w:id="1430389528">
      <w:bodyDiv w:val="1"/>
      <w:marLeft w:val="0"/>
      <w:marRight w:val="0"/>
      <w:marTop w:val="0"/>
      <w:marBottom w:val="0"/>
      <w:divBdr>
        <w:top w:val="none" w:sz="0" w:space="0" w:color="auto"/>
        <w:left w:val="none" w:sz="0" w:space="0" w:color="auto"/>
        <w:bottom w:val="none" w:sz="0" w:space="0" w:color="auto"/>
        <w:right w:val="none" w:sz="0" w:space="0" w:color="auto"/>
      </w:divBdr>
      <w:divsChild>
        <w:div w:id="936451235">
          <w:marLeft w:val="446"/>
          <w:marRight w:val="0"/>
          <w:marTop w:val="0"/>
          <w:marBottom w:val="120"/>
          <w:divBdr>
            <w:top w:val="none" w:sz="0" w:space="0" w:color="auto"/>
            <w:left w:val="none" w:sz="0" w:space="0" w:color="auto"/>
            <w:bottom w:val="none" w:sz="0" w:space="0" w:color="auto"/>
            <w:right w:val="none" w:sz="0" w:space="0" w:color="auto"/>
          </w:divBdr>
        </w:div>
        <w:div w:id="1608151364">
          <w:marLeft w:val="446"/>
          <w:marRight w:val="0"/>
          <w:marTop w:val="0"/>
          <w:marBottom w:val="120"/>
          <w:divBdr>
            <w:top w:val="none" w:sz="0" w:space="0" w:color="auto"/>
            <w:left w:val="none" w:sz="0" w:space="0" w:color="auto"/>
            <w:bottom w:val="none" w:sz="0" w:space="0" w:color="auto"/>
            <w:right w:val="none" w:sz="0" w:space="0" w:color="auto"/>
          </w:divBdr>
        </w:div>
        <w:div w:id="483475226">
          <w:marLeft w:val="446"/>
          <w:marRight w:val="0"/>
          <w:marTop w:val="0"/>
          <w:marBottom w:val="120"/>
          <w:divBdr>
            <w:top w:val="none" w:sz="0" w:space="0" w:color="auto"/>
            <w:left w:val="none" w:sz="0" w:space="0" w:color="auto"/>
            <w:bottom w:val="none" w:sz="0" w:space="0" w:color="auto"/>
            <w:right w:val="none" w:sz="0" w:space="0" w:color="auto"/>
          </w:divBdr>
        </w:div>
      </w:divsChild>
    </w:div>
    <w:div w:id="2049911352">
      <w:bodyDiv w:val="1"/>
      <w:marLeft w:val="0"/>
      <w:marRight w:val="0"/>
      <w:marTop w:val="0"/>
      <w:marBottom w:val="0"/>
      <w:divBdr>
        <w:top w:val="none" w:sz="0" w:space="0" w:color="auto"/>
        <w:left w:val="none" w:sz="0" w:space="0" w:color="auto"/>
        <w:bottom w:val="none" w:sz="0" w:space="0" w:color="auto"/>
        <w:right w:val="none" w:sz="0" w:space="0" w:color="auto"/>
      </w:divBdr>
    </w:div>
    <w:div w:id="21258046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www.nature.com/articles/s41588-022-01222-9" TargetMode="External"/><Relationship Id="rId11" Type="http://schemas.openxmlformats.org/officeDocument/2006/relationships/customXml" Target="../customXml/item3.xml"/><Relationship Id="rId5" Type="http://schemas.openxmlformats.org/officeDocument/2006/relationships/image" Target="media/image1.jpeg"/><Relationship Id="rId10" Type="http://schemas.openxmlformats.org/officeDocument/2006/relationships/customXml" Target="../customXml/item2.xml"/><Relationship Id="rId4" Type="http://schemas.openxmlformats.org/officeDocument/2006/relationships/webSettings" Target="webSettings.xml"/><Relationship Id="rId9" Type="http://schemas.openxmlformats.org/officeDocument/2006/relationships/customXml" Target="../customXml/item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1A2A2CF7A769F2468233866FC41FFE9C" ma:contentTypeVersion="6" ma:contentTypeDescription="Create a new document." ma:contentTypeScope="" ma:versionID="71ef2673134ae278ec2cfabb4f745151">
  <xsd:schema xmlns:xsd="http://www.w3.org/2001/XMLSchema" xmlns:xs="http://www.w3.org/2001/XMLSchema" xmlns:p="http://schemas.microsoft.com/office/2006/metadata/properties" xmlns:ns2="1a0ba6c3-9c88-409f-a6c3-d7b30f0128f9" xmlns:ns3="2cc0b2b8-54f9-42b4-99e3-fe5849fa8056" targetNamespace="http://schemas.microsoft.com/office/2006/metadata/properties" ma:root="true" ma:fieldsID="b9ff581f5ffcd248d57e1857da5aed29" ns2:_="" ns3:_="">
    <xsd:import namespace="1a0ba6c3-9c88-409f-a6c3-d7b30f0128f9"/>
    <xsd:import namespace="2cc0b2b8-54f9-42b4-99e3-fe5849fa8056"/>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a0ba6c3-9c88-409f-a6c3-d7b30f0128f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2cc0b2b8-54f9-42b4-99e3-fe5849fa8056"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24FDA0FE-432B-4365-A3DD-A9282858A202}"/>
</file>

<file path=customXml/itemProps2.xml><?xml version="1.0" encoding="utf-8"?>
<ds:datastoreItem xmlns:ds="http://schemas.openxmlformats.org/officeDocument/2006/customXml" ds:itemID="{32C0C1BC-7BA4-4197-AE6B-723B654D940E}"/>
</file>

<file path=customXml/itemProps3.xml><?xml version="1.0" encoding="utf-8"?>
<ds:datastoreItem xmlns:ds="http://schemas.openxmlformats.org/officeDocument/2006/customXml" ds:itemID="{F2F30948-0819-4541-A9AC-30DFD6E60BDE}"/>
</file>

<file path=docProps/app.xml><?xml version="1.0" encoding="utf-8"?>
<Properties xmlns="http://schemas.openxmlformats.org/officeDocument/2006/extended-properties" xmlns:vt="http://schemas.openxmlformats.org/officeDocument/2006/docPropsVTypes">
  <Template>Normal</Template>
  <TotalTime>0</TotalTime>
  <Pages>4</Pages>
  <Words>1336</Words>
  <Characters>7618</Characters>
  <Application>Microsoft Office Word</Application>
  <DocSecurity>4</DocSecurity>
  <Lines>63</Lines>
  <Paragraphs>17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8937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David Bryant</dc:creator>
  <cp:keywords/>
  <dc:description/>
  <cp:lastModifiedBy>Helen Nickerson</cp:lastModifiedBy>
  <cp:revision>2</cp:revision>
  <dcterms:created xsi:type="dcterms:W3CDTF">2025-02-18T11:43:00Z</dcterms:created>
  <dcterms:modified xsi:type="dcterms:W3CDTF">2025-02-18T11:43:00Z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0x0101001A2A2CF7A769F2468233866FC41FFE9C</vt:lpwstr>
  </property>
</Properties>
</file>