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40F302B" w14:textId="4EDDA214" w:rsidR="00FD38A7" w:rsidRDefault="00FD38A7" w:rsidP="00FC22E0">
      <w:pPr>
        <w:jc w:val="both"/>
        <w:rPr>
          <w:b/>
          <w:bCs/>
          <w:sz w:val="22"/>
          <w:szCs w:val="22"/>
        </w:rPr>
      </w:pPr>
      <w:r>
        <w:rPr>
          <w:noProof/>
          <w:lang w:val="en-US"/>
        </w:rPr>
        <w:drawing>
          <wp:anchor distT="0" distB="0" distL="114300" distR="114300" simplePos="0" relativeHeight="251659264" behindDoc="0" locked="0" layoutInCell="1" allowOverlap="1" wp14:anchorId="030B6938" wp14:editId="279FB4D4">
            <wp:simplePos x="0" y="0"/>
            <wp:positionH relativeFrom="column">
              <wp:posOffset>-571500</wp:posOffset>
            </wp:positionH>
            <wp:positionV relativeFrom="paragraph">
              <wp:posOffset>-571500</wp:posOffset>
            </wp:positionV>
            <wp:extent cx="3422650" cy="1087755"/>
            <wp:effectExtent l="0" t="0" r="6350" b="4445"/>
            <wp:wrapTight wrapText="bothSides">
              <wp:wrapPolygon edited="0">
                <wp:start x="0" y="0"/>
                <wp:lineTo x="0" y="21184"/>
                <wp:lineTo x="21480" y="21184"/>
                <wp:lineTo x="21480" y="0"/>
                <wp:lineTo x="0" y="0"/>
              </wp:wrapPolygon>
            </wp:wrapTight>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ATP Logo.jpg"/>
                    <pic:cNvPicPr/>
                  </pic:nvPicPr>
                  <pic:blipFill>
                    <a:blip r:embed="rId5" cstate="print">
                      <a:extLst>
                        <a:ext uri="{28A0092B-C50C-407E-A947-70E740481C1C}">
                          <a14:useLocalDpi xmlns:a14="http://schemas.microsoft.com/office/drawing/2010/main" val="0"/>
                        </a:ext>
                      </a:extLst>
                    </a:blip>
                    <a:stretch>
                      <a:fillRect/>
                    </a:stretch>
                  </pic:blipFill>
                  <pic:spPr>
                    <a:xfrm>
                      <a:off x="0" y="0"/>
                      <a:ext cx="3422650" cy="1087755"/>
                    </a:xfrm>
                    <a:prstGeom prst="rect">
                      <a:avLst/>
                    </a:prstGeom>
                  </pic:spPr>
                </pic:pic>
              </a:graphicData>
            </a:graphic>
            <wp14:sizeRelH relativeFrom="page">
              <wp14:pctWidth>0</wp14:pctWidth>
            </wp14:sizeRelH>
            <wp14:sizeRelV relativeFrom="page">
              <wp14:pctHeight>0</wp14:pctHeight>
            </wp14:sizeRelV>
          </wp:anchor>
        </w:drawing>
      </w:r>
    </w:p>
    <w:p w14:paraId="25B79E64" w14:textId="77777777" w:rsidR="00FD38A7" w:rsidRDefault="00FD38A7" w:rsidP="00FC22E0">
      <w:pPr>
        <w:jc w:val="both"/>
        <w:rPr>
          <w:b/>
          <w:bCs/>
          <w:sz w:val="22"/>
          <w:szCs w:val="22"/>
        </w:rPr>
      </w:pPr>
    </w:p>
    <w:p w14:paraId="104421B8" w14:textId="77777777" w:rsidR="00FD38A7" w:rsidRDefault="00FD38A7" w:rsidP="00FC22E0">
      <w:pPr>
        <w:jc w:val="both"/>
        <w:rPr>
          <w:b/>
          <w:bCs/>
          <w:sz w:val="22"/>
          <w:szCs w:val="22"/>
        </w:rPr>
      </w:pPr>
    </w:p>
    <w:p w14:paraId="20CE5CF2" w14:textId="77777777" w:rsidR="00FD38A7" w:rsidRDefault="00FD38A7" w:rsidP="00FC22E0">
      <w:pPr>
        <w:jc w:val="both"/>
        <w:rPr>
          <w:b/>
          <w:bCs/>
          <w:sz w:val="22"/>
          <w:szCs w:val="22"/>
        </w:rPr>
      </w:pPr>
    </w:p>
    <w:p w14:paraId="483C0C1B" w14:textId="77777777" w:rsidR="008435D0" w:rsidRDefault="008435D0" w:rsidP="00FC22E0">
      <w:pPr>
        <w:jc w:val="both"/>
        <w:rPr>
          <w:b/>
          <w:bCs/>
          <w:sz w:val="22"/>
          <w:szCs w:val="22"/>
        </w:rPr>
      </w:pPr>
    </w:p>
    <w:p w14:paraId="737EC102" w14:textId="77777777" w:rsidR="008435D0" w:rsidRDefault="008435D0" w:rsidP="00FC22E0">
      <w:pPr>
        <w:jc w:val="both"/>
        <w:rPr>
          <w:b/>
          <w:bCs/>
          <w:sz w:val="22"/>
          <w:szCs w:val="22"/>
        </w:rPr>
      </w:pPr>
    </w:p>
    <w:p w14:paraId="26C909D1" w14:textId="77777777" w:rsidR="008435D0" w:rsidRDefault="008435D0" w:rsidP="00FC22E0">
      <w:pPr>
        <w:jc w:val="both"/>
        <w:rPr>
          <w:b/>
          <w:bCs/>
          <w:sz w:val="22"/>
          <w:szCs w:val="22"/>
        </w:rPr>
      </w:pPr>
    </w:p>
    <w:p w14:paraId="0B4B82A5" w14:textId="14390F4B" w:rsidR="003B7946" w:rsidRPr="003B7946" w:rsidRDefault="003B7946" w:rsidP="00FC22E0">
      <w:pPr>
        <w:jc w:val="both"/>
        <w:rPr>
          <w:b/>
          <w:bCs/>
          <w:sz w:val="22"/>
          <w:szCs w:val="22"/>
        </w:rPr>
      </w:pPr>
      <w:r w:rsidRPr="003B7946">
        <w:rPr>
          <w:b/>
          <w:bCs/>
          <w:sz w:val="22"/>
          <w:szCs w:val="22"/>
        </w:rPr>
        <w:t>TRACC Programme</w:t>
      </w:r>
      <w:r w:rsidR="004555C8">
        <w:rPr>
          <w:b/>
          <w:bCs/>
          <w:sz w:val="22"/>
          <w:szCs w:val="22"/>
        </w:rPr>
        <w:t xml:space="preserve"> Project Pro Forma</w:t>
      </w:r>
    </w:p>
    <w:p w14:paraId="6D4CE3CF" w14:textId="77777777" w:rsidR="003B7946" w:rsidRDefault="003B7946" w:rsidP="003B7946">
      <w:pPr>
        <w:jc w:val="both"/>
        <w:rPr>
          <w:rFonts w:ascii="Calibri" w:eastAsia="Times New Roman" w:hAnsi="Calibri" w:cs="FranklinGothic-Heavy"/>
          <w:sz w:val="22"/>
          <w:szCs w:val="22"/>
          <w:lang w:eastAsia="en-GB"/>
        </w:rPr>
      </w:pPr>
    </w:p>
    <w:p w14:paraId="3A8D03D4" w14:textId="5046B165" w:rsidR="00B402B9" w:rsidRPr="00A61817" w:rsidRDefault="00F071A1" w:rsidP="00FC22E0">
      <w:pPr>
        <w:jc w:val="both"/>
        <w:rPr>
          <w:rFonts w:ascii="Calibri" w:eastAsia="Times New Roman" w:hAnsi="Calibri" w:cs="FranklinGothic-Heavy"/>
          <w:sz w:val="22"/>
          <w:szCs w:val="22"/>
          <w:lang w:eastAsia="en-GB"/>
        </w:rPr>
      </w:pPr>
      <w:r w:rsidRPr="003B7946">
        <w:rPr>
          <w:rFonts w:ascii="Calibri" w:eastAsia="Times New Roman" w:hAnsi="Calibri" w:cs="FranklinGothic-Heavy"/>
          <w:sz w:val="22"/>
          <w:szCs w:val="22"/>
          <w:lang w:eastAsia="en-GB"/>
        </w:rPr>
        <w:t xml:space="preserve">TRACC (to Train and Retain Academic Cancer Clinicians) is a joint </w:t>
      </w:r>
      <w:r w:rsidR="003B7946" w:rsidRPr="003B7946">
        <w:rPr>
          <w:rFonts w:ascii="Calibri" w:eastAsia="Times New Roman" w:hAnsi="Calibri" w:cs="FranklinGothic-Heavy"/>
          <w:sz w:val="22"/>
          <w:szCs w:val="22"/>
          <w:lang w:eastAsia="en-GB"/>
        </w:rPr>
        <w:t xml:space="preserve">Glasgow/Edinburgh </w:t>
      </w:r>
      <w:r w:rsidR="004555C8" w:rsidRPr="003B7946">
        <w:rPr>
          <w:rFonts w:ascii="Calibri" w:eastAsia="Times New Roman" w:hAnsi="Calibri" w:cs="FranklinGothic-Heavy"/>
          <w:sz w:val="22"/>
          <w:szCs w:val="22"/>
          <w:lang w:eastAsia="en-GB"/>
        </w:rPr>
        <w:t xml:space="preserve">programme </w:t>
      </w:r>
      <w:r w:rsidRPr="003B7946">
        <w:rPr>
          <w:rFonts w:ascii="Calibri" w:eastAsia="Times New Roman" w:hAnsi="Calibri" w:cs="FranklinGothic-Heavy"/>
          <w:sz w:val="22"/>
          <w:szCs w:val="22"/>
          <w:lang w:eastAsia="en-GB"/>
        </w:rPr>
        <w:t>funded by C</w:t>
      </w:r>
      <w:r w:rsidR="003B7946" w:rsidRPr="003B7946">
        <w:rPr>
          <w:rFonts w:ascii="Calibri" w:eastAsia="Times New Roman" w:hAnsi="Calibri" w:cs="FranklinGothic-Heavy"/>
          <w:sz w:val="22"/>
          <w:szCs w:val="22"/>
          <w:lang w:eastAsia="en-GB"/>
        </w:rPr>
        <w:t>ancer Research UK</w:t>
      </w:r>
      <w:r w:rsidRPr="003B7946">
        <w:rPr>
          <w:rFonts w:ascii="Calibri" w:eastAsia="Times New Roman" w:hAnsi="Calibri" w:cs="FranklinGothic-Heavy"/>
          <w:sz w:val="22"/>
          <w:szCs w:val="22"/>
          <w:lang w:eastAsia="en-GB"/>
        </w:rPr>
        <w:t>.</w:t>
      </w:r>
      <w:r w:rsidR="004555C8">
        <w:rPr>
          <w:rFonts w:ascii="Calibri" w:eastAsia="Times New Roman" w:hAnsi="Calibri" w:cs="FranklinGothic-Heavy"/>
          <w:sz w:val="22"/>
          <w:szCs w:val="22"/>
          <w:lang w:eastAsia="en-GB"/>
        </w:rPr>
        <w:t xml:space="preserve"> </w:t>
      </w:r>
      <w:r w:rsidR="003B7946">
        <w:rPr>
          <w:rFonts w:ascii="Calibri" w:eastAsia="Times New Roman" w:hAnsi="Calibri" w:cs="FranklinGothic-Heavy"/>
          <w:sz w:val="22"/>
          <w:szCs w:val="22"/>
          <w:lang w:eastAsia="en-GB"/>
        </w:rPr>
        <w:t xml:space="preserve">The </w:t>
      </w:r>
      <w:r w:rsidR="003B7946" w:rsidRPr="003B7946">
        <w:rPr>
          <w:rFonts w:ascii="Calibri" w:eastAsia="Times New Roman" w:hAnsi="Calibri" w:cs="FranklinGothic-Heavy"/>
          <w:b/>
          <w:sz w:val="22"/>
          <w:szCs w:val="22"/>
          <w:lang w:eastAsia="en-GB"/>
        </w:rPr>
        <w:t>MB-PhD</w:t>
      </w:r>
      <w:r w:rsidR="003B7946">
        <w:rPr>
          <w:rFonts w:ascii="Calibri" w:eastAsia="Times New Roman" w:hAnsi="Calibri" w:cs="FranklinGothic-Heavy"/>
          <w:sz w:val="22"/>
          <w:szCs w:val="22"/>
          <w:lang w:eastAsia="en-GB"/>
        </w:rPr>
        <w:t xml:space="preserve"> strand of the programme</w:t>
      </w:r>
      <w:r w:rsidR="003B7946" w:rsidRPr="003B7946">
        <w:rPr>
          <w:rFonts w:ascii="Calibri" w:eastAsia="Times New Roman" w:hAnsi="Calibri" w:cs="FranklinGothic-Heavy"/>
          <w:sz w:val="22"/>
          <w:szCs w:val="22"/>
          <w:lang w:eastAsia="en-GB"/>
        </w:rPr>
        <w:t xml:space="preserve"> is an </w:t>
      </w:r>
      <w:r w:rsidR="003B7946" w:rsidRPr="003B7946">
        <w:rPr>
          <w:bCs/>
          <w:sz w:val="22"/>
          <w:szCs w:val="22"/>
        </w:rPr>
        <w:t>o</w:t>
      </w:r>
      <w:r w:rsidR="004555C8" w:rsidRPr="003B7946">
        <w:rPr>
          <w:bCs/>
          <w:sz w:val="22"/>
          <w:szCs w:val="22"/>
        </w:rPr>
        <w:t>pportunity</w:t>
      </w:r>
      <w:r w:rsidR="003B7946">
        <w:rPr>
          <w:bCs/>
          <w:sz w:val="22"/>
          <w:szCs w:val="22"/>
        </w:rPr>
        <w:t xml:space="preserve"> for medical students from either University </w:t>
      </w:r>
      <w:r w:rsidR="004555C8" w:rsidRPr="003B7946">
        <w:rPr>
          <w:bCs/>
          <w:sz w:val="22"/>
          <w:szCs w:val="22"/>
        </w:rPr>
        <w:t xml:space="preserve">to undertake a </w:t>
      </w:r>
      <w:r w:rsidR="004555C8" w:rsidRPr="003B7946">
        <w:rPr>
          <w:b/>
          <w:bCs/>
          <w:sz w:val="22"/>
          <w:szCs w:val="22"/>
        </w:rPr>
        <w:t>3</w:t>
      </w:r>
      <w:r w:rsidR="003B7946" w:rsidRPr="003B7946">
        <w:rPr>
          <w:b/>
          <w:bCs/>
          <w:sz w:val="22"/>
          <w:szCs w:val="22"/>
        </w:rPr>
        <w:t>-</w:t>
      </w:r>
      <w:r w:rsidR="004555C8" w:rsidRPr="003B7946">
        <w:rPr>
          <w:b/>
          <w:bCs/>
          <w:sz w:val="22"/>
          <w:szCs w:val="22"/>
        </w:rPr>
        <w:t xml:space="preserve">year </w:t>
      </w:r>
      <w:r w:rsidR="004555C8" w:rsidRPr="003B7946">
        <w:rPr>
          <w:bCs/>
          <w:sz w:val="22"/>
          <w:szCs w:val="22"/>
        </w:rPr>
        <w:t>PhD after the</w:t>
      </w:r>
      <w:r w:rsidR="003B7946">
        <w:rPr>
          <w:bCs/>
          <w:sz w:val="22"/>
          <w:szCs w:val="22"/>
        </w:rPr>
        <w:t>ir</w:t>
      </w:r>
      <w:r w:rsidR="004555C8" w:rsidRPr="003B7946">
        <w:rPr>
          <w:bCs/>
          <w:sz w:val="22"/>
          <w:szCs w:val="22"/>
        </w:rPr>
        <w:t xml:space="preserve"> BSc year in </w:t>
      </w:r>
      <w:r w:rsidR="004555C8" w:rsidRPr="003B7946">
        <w:rPr>
          <w:b/>
          <w:bCs/>
          <w:sz w:val="22"/>
          <w:szCs w:val="22"/>
        </w:rPr>
        <w:t>any discipline relevant to cancer research</w:t>
      </w:r>
      <w:r w:rsidR="003B7946">
        <w:rPr>
          <w:bCs/>
          <w:sz w:val="22"/>
          <w:szCs w:val="22"/>
        </w:rPr>
        <w:t>. St</w:t>
      </w:r>
      <w:r w:rsidR="004555C8">
        <w:rPr>
          <w:bCs/>
          <w:sz w:val="22"/>
          <w:szCs w:val="22"/>
        </w:rPr>
        <w:t>udents</w:t>
      </w:r>
      <w:r w:rsidR="003B7946">
        <w:rPr>
          <w:bCs/>
          <w:sz w:val="22"/>
          <w:szCs w:val="22"/>
        </w:rPr>
        <w:t xml:space="preserve"> are provided with </w:t>
      </w:r>
      <w:r w:rsidR="004555C8">
        <w:rPr>
          <w:bCs/>
          <w:sz w:val="22"/>
          <w:szCs w:val="22"/>
        </w:rPr>
        <w:t>c</w:t>
      </w:r>
      <w:r w:rsidR="004555C8" w:rsidRPr="003B7946">
        <w:rPr>
          <w:bCs/>
          <w:sz w:val="22"/>
          <w:szCs w:val="22"/>
        </w:rPr>
        <w:t xml:space="preserve">lose mentoring and support </w:t>
      </w:r>
      <w:r w:rsidR="004555C8">
        <w:rPr>
          <w:bCs/>
          <w:sz w:val="22"/>
          <w:szCs w:val="22"/>
        </w:rPr>
        <w:t>to</w:t>
      </w:r>
      <w:r w:rsidR="004555C8" w:rsidRPr="003B7946">
        <w:rPr>
          <w:bCs/>
          <w:sz w:val="22"/>
          <w:szCs w:val="22"/>
        </w:rPr>
        <w:t xml:space="preserve"> find the project that </w:t>
      </w:r>
      <w:r w:rsidR="004555C8">
        <w:rPr>
          <w:bCs/>
          <w:sz w:val="22"/>
          <w:szCs w:val="22"/>
        </w:rPr>
        <w:t xml:space="preserve">best </w:t>
      </w:r>
      <w:r w:rsidR="004555C8" w:rsidRPr="003B7946">
        <w:rPr>
          <w:bCs/>
          <w:sz w:val="22"/>
          <w:szCs w:val="22"/>
        </w:rPr>
        <w:t xml:space="preserve">fits </w:t>
      </w:r>
      <w:r w:rsidR="004555C8">
        <w:rPr>
          <w:bCs/>
          <w:sz w:val="22"/>
          <w:szCs w:val="22"/>
        </w:rPr>
        <w:t>their</w:t>
      </w:r>
      <w:r w:rsidR="004555C8" w:rsidRPr="003B7946">
        <w:rPr>
          <w:bCs/>
          <w:sz w:val="22"/>
          <w:szCs w:val="22"/>
        </w:rPr>
        <w:t xml:space="preserve"> interests across Edinburgh and Glasgow</w:t>
      </w:r>
      <w:r w:rsidR="004555C8">
        <w:rPr>
          <w:bCs/>
          <w:sz w:val="22"/>
          <w:szCs w:val="22"/>
        </w:rPr>
        <w:t>.</w:t>
      </w:r>
      <w:r w:rsidR="00A61817">
        <w:rPr>
          <w:rFonts w:ascii="Calibri" w:eastAsia="Times New Roman" w:hAnsi="Calibri" w:cs="FranklinGothic-Heavy"/>
          <w:sz w:val="22"/>
          <w:szCs w:val="22"/>
          <w:lang w:eastAsia="en-GB"/>
        </w:rPr>
        <w:t xml:space="preserve"> </w:t>
      </w:r>
      <w:r w:rsidR="004555C8">
        <w:rPr>
          <w:bCs/>
          <w:sz w:val="22"/>
          <w:szCs w:val="22"/>
        </w:rPr>
        <w:t>Your</w:t>
      </w:r>
      <w:r w:rsidR="00C91D53" w:rsidRPr="003B7946">
        <w:rPr>
          <w:bCs/>
          <w:sz w:val="22"/>
          <w:szCs w:val="22"/>
        </w:rPr>
        <w:t xml:space="preserve"> </w:t>
      </w:r>
      <w:r w:rsidR="003B7946" w:rsidRPr="003B7946">
        <w:rPr>
          <w:bCs/>
          <w:sz w:val="22"/>
          <w:szCs w:val="22"/>
        </w:rPr>
        <w:t xml:space="preserve">MB-PhD </w:t>
      </w:r>
      <w:r w:rsidR="00C91D53" w:rsidRPr="003B7946">
        <w:rPr>
          <w:bCs/>
          <w:sz w:val="22"/>
          <w:szCs w:val="22"/>
        </w:rPr>
        <w:t>project</w:t>
      </w:r>
      <w:r w:rsidR="004555C8">
        <w:rPr>
          <w:bCs/>
          <w:sz w:val="22"/>
          <w:szCs w:val="22"/>
        </w:rPr>
        <w:t xml:space="preserve"> proposal</w:t>
      </w:r>
      <w:r w:rsidR="00C91D53" w:rsidRPr="003B7946">
        <w:rPr>
          <w:bCs/>
          <w:sz w:val="22"/>
          <w:szCs w:val="22"/>
        </w:rPr>
        <w:t xml:space="preserve"> </w:t>
      </w:r>
      <w:r w:rsidR="00B402B9" w:rsidRPr="003B7946">
        <w:rPr>
          <w:bCs/>
          <w:sz w:val="22"/>
          <w:szCs w:val="22"/>
        </w:rPr>
        <w:t>should be</w:t>
      </w:r>
      <w:r w:rsidR="00C91D53" w:rsidRPr="003B7946">
        <w:rPr>
          <w:bCs/>
          <w:sz w:val="22"/>
          <w:szCs w:val="22"/>
        </w:rPr>
        <w:t xml:space="preserve"> suitable for </w:t>
      </w:r>
      <w:r w:rsidR="00B402B9" w:rsidRPr="003B7946">
        <w:rPr>
          <w:bCs/>
          <w:sz w:val="22"/>
          <w:szCs w:val="22"/>
        </w:rPr>
        <w:t>a 2</w:t>
      </w:r>
      <w:r w:rsidR="00B402B9" w:rsidRPr="003B7946">
        <w:rPr>
          <w:bCs/>
          <w:sz w:val="22"/>
          <w:szCs w:val="22"/>
          <w:vertAlign w:val="superscript"/>
        </w:rPr>
        <w:t>nd</w:t>
      </w:r>
      <w:r w:rsidR="00B402B9" w:rsidRPr="003B7946">
        <w:rPr>
          <w:bCs/>
          <w:sz w:val="22"/>
          <w:szCs w:val="22"/>
        </w:rPr>
        <w:t xml:space="preserve"> or 3</w:t>
      </w:r>
      <w:r w:rsidR="00B402B9" w:rsidRPr="003B7946">
        <w:rPr>
          <w:bCs/>
          <w:sz w:val="22"/>
          <w:szCs w:val="22"/>
          <w:vertAlign w:val="superscript"/>
        </w:rPr>
        <w:t>rd</w:t>
      </w:r>
      <w:r w:rsidR="00B402B9" w:rsidRPr="003B7946">
        <w:rPr>
          <w:bCs/>
          <w:sz w:val="22"/>
          <w:szCs w:val="22"/>
        </w:rPr>
        <w:t xml:space="preserve"> year medical student undertaking a 3-year intercalated PhD (having previous completed a 1-year intercalated BSc).</w:t>
      </w:r>
    </w:p>
    <w:p w14:paraId="6E561C88" w14:textId="2F0FA2F2" w:rsidR="00C91D53" w:rsidRDefault="00C91D53" w:rsidP="00FC22E0">
      <w:pPr>
        <w:jc w:val="both"/>
        <w:rPr>
          <w:b/>
          <w:bCs/>
          <w:sz w:val="22"/>
          <w:szCs w:val="22"/>
        </w:rPr>
      </w:pPr>
    </w:p>
    <w:p w14:paraId="702183E5" w14:textId="1E0B88DC" w:rsidR="00A40DCB" w:rsidRPr="001500DF" w:rsidRDefault="00830F86" w:rsidP="00FC22E0">
      <w:pPr>
        <w:jc w:val="both"/>
        <w:rPr>
          <w:rFonts w:ascii="Calibri" w:hAnsi="Calibri" w:cs="Calibri"/>
          <w:b/>
          <w:bCs/>
          <w:sz w:val="22"/>
          <w:szCs w:val="22"/>
        </w:rPr>
      </w:pPr>
      <w:r w:rsidRPr="003B7946">
        <w:rPr>
          <w:rFonts w:ascii="Calibri" w:eastAsia="Times New Roman" w:hAnsi="Calibri" w:cs="FranklinGothic-Heavy"/>
          <w:b/>
          <w:sz w:val="22"/>
          <w:szCs w:val="22"/>
          <w:lang w:eastAsia="en-GB"/>
        </w:rPr>
        <w:t>MB-</w:t>
      </w:r>
      <w:r w:rsidR="001500DF" w:rsidRPr="003B7946">
        <w:rPr>
          <w:rFonts w:ascii="Calibri" w:eastAsia="Times New Roman" w:hAnsi="Calibri" w:cs="FranklinGothic-Heavy"/>
          <w:b/>
          <w:sz w:val="22"/>
          <w:szCs w:val="22"/>
          <w:lang w:eastAsia="en-GB"/>
        </w:rPr>
        <w:t>PhD</w:t>
      </w:r>
      <w:r w:rsidR="001500DF">
        <w:rPr>
          <w:rFonts w:ascii="Calibri" w:eastAsia="Times New Roman" w:hAnsi="Calibri" w:cs="FranklinGothic-Heavy"/>
          <w:sz w:val="22"/>
          <w:szCs w:val="22"/>
          <w:lang w:eastAsia="en-GB"/>
        </w:rPr>
        <w:t xml:space="preserve"> </w:t>
      </w:r>
      <w:r w:rsidR="001500DF" w:rsidRPr="001500DF">
        <w:rPr>
          <w:rFonts w:ascii="Calibri" w:eastAsia="Times New Roman" w:hAnsi="Calibri" w:cs="FranklinGothic-Heavy"/>
          <w:b/>
          <w:bCs/>
          <w:sz w:val="22"/>
          <w:szCs w:val="22"/>
          <w:lang w:eastAsia="en-GB"/>
        </w:rPr>
        <w:t>Project</w:t>
      </w:r>
      <w:r w:rsidR="00A40DCB" w:rsidRPr="00FD38A7">
        <w:rPr>
          <w:b/>
          <w:bCs/>
          <w:sz w:val="22"/>
          <w:szCs w:val="22"/>
        </w:rPr>
        <w:t xml:space="preserve"> </w:t>
      </w:r>
      <w:r w:rsidR="00806088">
        <w:rPr>
          <w:b/>
          <w:bCs/>
          <w:sz w:val="22"/>
          <w:szCs w:val="22"/>
        </w:rPr>
        <w:t>t</w:t>
      </w:r>
      <w:r w:rsidR="00A40DCB" w:rsidRPr="00FD38A7">
        <w:rPr>
          <w:b/>
          <w:bCs/>
          <w:sz w:val="22"/>
          <w:szCs w:val="22"/>
        </w:rPr>
        <w:t>itle:</w:t>
      </w:r>
      <w:r w:rsidR="002A7313" w:rsidRPr="00FD38A7">
        <w:rPr>
          <w:b/>
          <w:bCs/>
          <w:sz w:val="22"/>
          <w:szCs w:val="22"/>
        </w:rPr>
        <w:t xml:space="preserve"> </w:t>
      </w:r>
      <w:r w:rsidR="005F4485" w:rsidRPr="001500DF">
        <w:rPr>
          <w:rFonts w:ascii="Calibri" w:hAnsi="Calibri" w:cs="Calibri"/>
          <w:sz w:val="22"/>
          <w:szCs w:val="22"/>
        </w:rPr>
        <w:t>Development of novel pre-clinical models for paediatric sarcomas</w:t>
      </w:r>
    </w:p>
    <w:p w14:paraId="02B5E658" w14:textId="2C46F7CB" w:rsidR="00A40DCB" w:rsidRDefault="00A40DCB" w:rsidP="00FC22E0">
      <w:pPr>
        <w:jc w:val="both"/>
        <w:rPr>
          <w:b/>
          <w:bCs/>
          <w:sz w:val="22"/>
          <w:szCs w:val="22"/>
        </w:rPr>
      </w:pPr>
    </w:p>
    <w:p w14:paraId="3F937E34" w14:textId="77777777" w:rsidR="00E43BD1" w:rsidRDefault="002E79A8" w:rsidP="00FC22E0">
      <w:pPr>
        <w:jc w:val="both"/>
        <w:rPr>
          <w:bCs/>
          <w:i/>
          <w:sz w:val="22"/>
          <w:szCs w:val="22"/>
        </w:rPr>
      </w:pPr>
      <w:r w:rsidRPr="00FD38A7">
        <w:rPr>
          <w:b/>
          <w:bCs/>
          <w:sz w:val="22"/>
          <w:szCs w:val="22"/>
        </w:rPr>
        <w:t>Supervisor</w:t>
      </w:r>
      <w:r w:rsidR="00E43BD1">
        <w:rPr>
          <w:b/>
          <w:bCs/>
          <w:sz w:val="22"/>
          <w:szCs w:val="22"/>
        </w:rPr>
        <w:t>y</w:t>
      </w:r>
      <w:r w:rsidR="00A40DCB" w:rsidRPr="00FD38A7">
        <w:rPr>
          <w:b/>
          <w:bCs/>
          <w:sz w:val="22"/>
          <w:szCs w:val="22"/>
        </w:rPr>
        <w:t xml:space="preserve"> </w:t>
      </w:r>
      <w:r w:rsidR="00806088">
        <w:rPr>
          <w:b/>
          <w:bCs/>
          <w:sz w:val="22"/>
          <w:szCs w:val="22"/>
        </w:rPr>
        <w:t>t</w:t>
      </w:r>
      <w:r w:rsidR="00A40DCB" w:rsidRPr="00FD38A7">
        <w:rPr>
          <w:b/>
          <w:bCs/>
          <w:sz w:val="22"/>
          <w:szCs w:val="22"/>
        </w:rPr>
        <w:t>eam</w:t>
      </w:r>
      <w:r w:rsidRPr="00FD38A7">
        <w:rPr>
          <w:b/>
          <w:bCs/>
          <w:sz w:val="22"/>
          <w:szCs w:val="22"/>
        </w:rPr>
        <w:t xml:space="preserve">: </w:t>
      </w:r>
    </w:p>
    <w:p w14:paraId="17DB4E93" w14:textId="54BD039E" w:rsidR="002E79A8" w:rsidRPr="00E43BD1" w:rsidRDefault="00E43BD1" w:rsidP="00FC22E0">
      <w:pPr>
        <w:jc w:val="both"/>
        <w:rPr>
          <w:bCs/>
          <w:i/>
          <w:sz w:val="22"/>
          <w:szCs w:val="22"/>
        </w:rPr>
      </w:pPr>
      <w:r>
        <w:rPr>
          <w:bCs/>
          <w:i/>
          <w:sz w:val="22"/>
          <w:szCs w:val="22"/>
        </w:rPr>
        <w:t>Please consider including supervisors from the other centre where there is a good fit</w:t>
      </w:r>
    </w:p>
    <w:p w14:paraId="28E0F330" w14:textId="12229215" w:rsidR="005F4485" w:rsidRPr="00EE3389" w:rsidRDefault="005F4485" w:rsidP="00FC22E0">
      <w:pPr>
        <w:jc w:val="both"/>
        <w:rPr>
          <w:rFonts w:ascii="Calibri" w:hAnsi="Calibri" w:cs="Calibri"/>
          <w:sz w:val="22"/>
          <w:szCs w:val="22"/>
        </w:rPr>
      </w:pPr>
      <w:r w:rsidRPr="00FF6A33">
        <w:rPr>
          <w:rFonts w:ascii="Calibri" w:hAnsi="Calibri" w:cs="Calibri"/>
          <w:sz w:val="22"/>
          <w:szCs w:val="22"/>
        </w:rPr>
        <w:t>Nezha Benabdallah</w:t>
      </w:r>
      <w:r w:rsidR="00EE3389">
        <w:rPr>
          <w:rFonts w:ascii="Calibri" w:hAnsi="Calibri" w:cs="Calibri"/>
          <w:sz w:val="22"/>
          <w:szCs w:val="22"/>
        </w:rPr>
        <w:t xml:space="preserve"> and </w:t>
      </w:r>
      <w:r w:rsidR="00E61982" w:rsidRPr="00FF6A33">
        <w:rPr>
          <w:rFonts w:ascii="Calibri" w:hAnsi="Calibri" w:cs="Calibri"/>
          <w:sz w:val="22"/>
          <w:szCs w:val="22"/>
        </w:rPr>
        <w:t>Hannah</w:t>
      </w:r>
      <w:r w:rsidRPr="00FF6A33">
        <w:rPr>
          <w:rFonts w:ascii="Calibri" w:hAnsi="Calibri" w:cs="Calibri"/>
          <w:sz w:val="22"/>
          <w:szCs w:val="22"/>
        </w:rPr>
        <w:t xml:space="preserve"> </w:t>
      </w:r>
      <w:r w:rsidR="00E61982" w:rsidRPr="00FF6A33">
        <w:rPr>
          <w:rFonts w:ascii="Calibri" w:hAnsi="Calibri" w:cs="Calibri"/>
          <w:sz w:val="22"/>
          <w:szCs w:val="22"/>
        </w:rPr>
        <w:t>Long</w:t>
      </w:r>
    </w:p>
    <w:p w14:paraId="69EB9F8E" w14:textId="77777777" w:rsidR="00FD38A7" w:rsidRPr="00FF6A33" w:rsidRDefault="00FD38A7" w:rsidP="00FC22E0">
      <w:pPr>
        <w:jc w:val="both"/>
      </w:pPr>
    </w:p>
    <w:p w14:paraId="31529679" w14:textId="6106C485" w:rsidR="00A40DCB" w:rsidRDefault="00A40DCB" w:rsidP="00FC22E0">
      <w:pPr>
        <w:jc w:val="both"/>
        <w:rPr>
          <w:b/>
          <w:bCs/>
          <w:sz w:val="22"/>
          <w:szCs w:val="22"/>
        </w:rPr>
      </w:pPr>
      <w:r w:rsidRPr="00FD38A7">
        <w:rPr>
          <w:b/>
          <w:bCs/>
          <w:sz w:val="22"/>
          <w:szCs w:val="22"/>
        </w:rPr>
        <w:t xml:space="preserve">Lab </w:t>
      </w:r>
      <w:r w:rsidR="00806088">
        <w:rPr>
          <w:b/>
          <w:bCs/>
          <w:sz w:val="22"/>
          <w:szCs w:val="22"/>
        </w:rPr>
        <w:t>w</w:t>
      </w:r>
      <w:r w:rsidRPr="00FD38A7">
        <w:rPr>
          <w:b/>
          <w:bCs/>
          <w:sz w:val="22"/>
          <w:szCs w:val="22"/>
        </w:rPr>
        <w:t>ebsites:</w:t>
      </w:r>
    </w:p>
    <w:p w14:paraId="5E1D3595" w14:textId="7E573950" w:rsidR="005F4485" w:rsidRDefault="00EE3389" w:rsidP="005F4485">
      <w:pPr>
        <w:pStyle w:val="Bodycopy"/>
        <w:rPr>
          <w:rFonts w:ascii="Calibri" w:hAnsi="Calibri"/>
          <w:sz w:val="22"/>
          <w:szCs w:val="22"/>
        </w:rPr>
      </w:pPr>
      <w:hyperlink r:id="rId6" w:history="1">
        <w:r w:rsidRPr="00FC1D02">
          <w:rPr>
            <w:rStyle w:val="Hyperlink"/>
            <w:rFonts w:ascii="Calibri" w:hAnsi="Calibri"/>
            <w:sz w:val="22"/>
            <w:szCs w:val="22"/>
          </w:rPr>
          <w:t>https://institute-genetics-cancer.ed.ac.uk/research/research-groups-a-z/nezha-benabdallah-group</w:t>
        </w:r>
      </w:hyperlink>
    </w:p>
    <w:p w14:paraId="2160CBA7" w14:textId="77777777" w:rsidR="00EE3389" w:rsidRDefault="00EE3389" w:rsidP="005F4485">
      <w:pPr>
        <w:pStyle w:val="Bodycopy"/>
        <w:rPr>
          <w:rFonts w:ascii="Calibri" w:hAnsi="Calibri"/>
          <w:sz w:val="22"/>
          <w:szCs w:val="22"/>
        </w:rPr>
      </w:pPr>
    </w:p>
    <w:p w14:paraId="58DC38CD" w14:textId="3784484B" w:rsidR="00EE3389" w:rsidRDefault="00EE3389" w:rsidP="005F4485">
      <w:pPr>
        <w:pStyle w:val="Bodycopy"/>
        <w:rPr>
          <w:rFonts w:ascii="Calibri" w:hAnsi="Calibri"/>
          <w:sz w:val="22"/>
          <w:szCs w:val="22"/>
        </w:rPr>
      </w:pPr>
      <w:hyperlink r:id="rId7" w:history="1">
        <w:r w:rsidRPr="00FC1D02">
          <w:rPr>
            <w:rStyle w:val="Hyperlink"/>
            <w:rFonts w:ascii="Calibri" w:hAnsi="Calibri"/>
            <w:sz w:val="22"/>
            <w:szCs w:val="22"/>
          </w:rPr>
          <w:t>https://institute-genetics-cancer.ed.ac.uk/research/research-groups-a-z/hannah-long-research-group</w:t>
        </w:r>
      </w:hyperlink>
    </w:p>
    <w:p w14:paraId="48BD44AD" w14:textId="77777777" w:rsidR="00EE3389" w:rsidRPr="00FF6A33" w:rsidRDefault="00EE3389" w:rsidP="005F4485">
      <w:pPr>
        <w:pStyle w:val="Bodycopy"/>
        <w:rPr>
          <w:rFonts w:ascii="Calibri" w:hAnsi="Calibri"/>
          <w:sz w:val="22"/>
          <w:szCs w:val="22"/>
        </w:rPr>
      </w:pPr>
    </w:p>
    <w:p w14:paraId="6EC077B0" w14:textId="41E52032" w:rsidR="002E79A8" w:rsidRDefault="00A40DCB" w:rsidP="00FC22E0">
      <w:pPr>
        <w:jc w:val="both"/>
        <w:rPr>
          <w:b/>
          <w:bCs/>
          <w:sz w:val="22"/>
          <w:szCs w:val="22"/>
        </w:rPr>
      </w:pPr>
      <w:r w:rsidRPr="00FD38A7">
        <w:rPr>
          <w:b/>
          <w:bCs/>
          <w:sz w:val="22"/>
          <w:szCs w:val="22"/>
        </w:rPr>
        <w:t xml:space="preserve">Research </w:t>
      </w:r>
      <w:r w:rsidR="00806088">
        <w:rPr>
          <w:b/>
          <w:bCs/>
          <w:sz w:val="22"/>
          <w:szCs w:val="22"/>
        </w:rPr>
        <w:t>q</w:t>
      </w:r>
      <w:r w:rsidRPr="00FD38A7">
        <w:rPr>
          <w:b/>
          <w:bCs/>
          <w:sz w:val="22"/>
          <w:szCs w:val="22"/>
        </w:rPr>
        <w:t>uestion:</w:t>
      </w:r>
    </w:p>
    <w:p w14:paraId="4FC09295" w14:textId="5B14E1DA" w:rsidR="00937E90" w:rsidRPr="00937E90" w:rsidRDefault="00937E90" w:rsidP="00937E90">
      <w:pPr>
        <w:jc w:val="both"/>
        <w:rPr>
          <w:sz w:val="22"/>
          <w:szCs w:val="22"/>
        </w:rPr>
      </w:pPr>
      <w:r w:rsidRPr="00937E90">
        <w:rPr>
          <w:sz w:val="22"/>
          <w:szCs w:val="22"/>
        </w:rPr>
        <w:t>CIC-rearranged tumours are paediatric cancers that can arise in various tissues, including bone, soft tissues, and the central nervous system</w:t>
      </w:r>
      <w:r>
        <w:rPr>
          <w:rFonts w:ascii="Calibri" w:hAnsi="Calibri" w:cs="Calibri"/>
          <w:sz w:val="22"/>
          <w:szCs w:val="22"/>
        </w:rPr>
        <w:fldChar w:fldCharType="begin"/>
      </w:r>
      <w:r>
        <w:rPr>
          <w:rFonts w:ascii="Calibri" w:hAnsi="Calibri" w:cs="Calibri"/>
          <w:sz w:val="22"/>
          <w:szCs w:val="22"/>
        </w:rPr>
        <w:instrText xml:space="preserve"> ADDIN ZOTERO_ITEM CSL_CITATION {"citationID":"D3hgpCeD","properties":{"formattedCitation":"\\super 1,2\\nosupersub{}","plainCitation":"1,2","noteIndex":0},"citationItems":[{"id":921,"uris":["http://zotero.org/users/13655192/items/UGGTHQVM"],"itemData":{"id":921,"type":"article-journal","container-title":"Cell","DOI":"10.1016/j.cell.2016.01.015","ISSN":"0092-8674, 1097-4172","issue":"5","journalAbbreviation":"Cell","language":"English","note":"publisher: Elsevier\nPMID: 26919435","page":"1060-1072","source":"www.cell.com","title":"New Brain Tumor Entities Emerge from Molecular Classification of CNS-PNETs","volume":"164","author":[{"family":"Sturm","given":"Dominik"},{"family":"Orr","given":"Brent A."},{"family":"Toprak","given":"Umut H."},{"family":"Hovestadt","given":"Volker"},{"family":"Jones","given":"David T. W."},{"family":"Capper","given":"David"},{"family":"Sill","given":"Martin"},{"family":"Buchhalter","given":"Ivo"},{"family":"Northcott","given":"Paul A."},{"family":"Leis","given":"Irina"},{"family":"Ryzhova","given":"Marina"},{"family":"Koelsche","given":"Christian"},{"family":"Pfaff","given":"Elke"},{"family":"Allen","given":"Sariah J."},{"family":"Balasubramanian","given":"Gnanaprakash"},{"family":"Worst","given":"Barbara C."},{"family":"Pajtler","given":"Kristian W."},{"family":"Brabetz","given":"Sebastian"},{"family":"Johann","given":"Pascal D."},{"family":"Sahm","given":"Felix"},{"family":"Reimand","given":"Jüri"},{"family":"Mackay","given":"Alan"},{"family":"Carvalho","given":"Diana M."},{"family":"Remke","given":"Marc"},{"family":"Phillips","given":"Joanna J."},{"family":"Perry","given":"Arie"},{"family":"Cowdrey","given":"Cynthia"},{"family":"Drissi","given":"Rachid"},{"family":"Fouladi","given":"Maryam"},{"family":"Giangaspero","given":"Felice"},{"family":"Łastowska","given":"Maria"},{"family":"Grajkowska","given":"Wiesława"},{"family":"Scheurlen","given":"Wolfram"},{"family":"Pietsch","given":"Torsten"},{"family":"Hagel","given":"Christian"},{"family":"Gojo","given":"Johannes"},{"family":"Lötsch","given":"Daniela"},{"family":"Berger","given":"Walter"},{"family":"Slavc","given":"Irene"},{"family":"Haberler","given":"Christine"},{"family":"Jouvet","given":"Anne"},{"family":"Holm","given":"Stefan"},{"family":"Hofer","given":"Silvia"},{"family":"Prinz","given":"Marco"},{"family":"Keohane","given":"Catherine"},{"family":"Fried","given":"Iris"},{"family":"Mawrin","given":"Christian"},{"family":"Scheie","given":"David"},{"family":"Mobley","given":"Bret C."},{"family":"Schniederjan","given":"Matthew J."},{"family":"Santi","given":"Mariarita"},{"family":"Buccoliero","given":"Anna M."},{"family":"Dahiya","given":"Sonika"},{"family":"Kramm","given":"Christof M."},{"family":"von Bueren","given":"André O."},{"family":"von Hoff","given":"Katja"},{"family":"Rutkowski","given":"Stefan"},{"family":"Herold-Mende","given":"Christel"},{"family":"Frühwald","given":"Michael C."},{"family":"Milde","given":"Till"},{"family":"Hasselblatt","given":"Martin"},{"family":"Wesseling","given":"Pieter"},{"family":"Rößler","given":"Jochen"},{"family":"Schüller","given":"Ulrich"},{"family":"Ebinger","given":"Martin"},{"family":"Schittenhelm","given":"Jens"},{"family":"Frank","given":"Stephan"},{"family":"Grobholz","given":"Rainer"},{"family":"Vajtai","given":"Istvan"},{"family":"Hans","given":"Volkmar"},{"family":"Schneppenheim","given":"Reinhard"},{"family":"Zitterbart","given":"Karel"},{"family":"Collins","given":"V. Peter"},{"family":"Aronica","given":"Eleonora"},{"family":"Varlet","given":"Pascale"},{"family":"Puget","given":"Stephanie"},{"family":"Dufour","given":"Christelle"},{"family":"Grill","given":"Jacques"},{"family":"Figarella-Branger","given":"Dominique"},{"family":"Wolter","given":"Marietta"},{"family":"Schuhmann","given":"Martin U."},{"family":"Shalaby","given":"Tarek"},{"family":"Grotzer","given":"Michael"},{"family":"van Meter","given":"Timothy"},{"family":"Monoranu","given":"Camelia-Maria"},{"family":"Felsberg","given":"Jörg"},{"family":"Reifenberger","given":"Guido"},{"family":"Snuderl","given":"Matija"},{"family":"Forrester","given":"Lynn Ann"},{"family":"Koster","given":"Jan"},{"family":"Versteeg","given":"Rogier"},{"family":"Volckmann","given":"Richard"},{"family":"van Sluis","given":"Peter"},{"family":"Wolf","given":"Stephan"},{"family":"Mikkelsen","given":"Tom"},{"family":"Gajjar","given":"Amar"},{"family":"Aldape","given":"Kenneth"},{"family":"Moore","given":"Andrew S."},{"family":"Taylor","given":"Michael D."},{"family":"Jones","given":"Chris"},{"family":"Jabado","given":"Nada"},{"family":"Karajannis","given":"Matthias A."},{"family":"Eils","given":"Roland"},{"family":"Schlesner","given":"Matthias"},{"family":"Lichter","given":"Peter"},{"family":"von Deimling","given":"Andreas"},{"family":"Pfister","given":"Stefan M."},{"family":"Ellison","given":"David W."},{"family":"Korshunov","given":"Andrey"},{"family":"Kool","given":"Marcel"}],"issued":{"date-parts":[["2016",2,25]]}}},{"id":1003,"uris":["http://zotero.org/users/13655192/items/WTDN49NY"],"itemData":{"id":1003,"type":"article-journal","abstract":"Undifferentiated small round cell sarcomas (SRCSs) of bone and soft tissue comprise a heterogeneous group of highly aggressive tumours associated with a poor prognosis, especially in metastatic disease. SRCS entities mainly occur in the third decade of life and can exhibit striking disparities regarding preferentially affected sex and tumour localization. SRCSs comprise new entities defined by specific genetic abnormalities, namely EWSR1-non-ETS fusions, CIC-rearrangements or BCOR genetic alterations, as well as EWSR1-ETS fusions in the prototypic SRCS Ewing sarcoma. These gene fusions mainly encode aberrant oncogenic transcription factors that massively rewire the transcriptome and epigenome of the as yet unknown cell or cells of origin. Additional mutations or copy number variants are rare at diagnosis and, depending on the tumour entity, may involve TP53, CDKN2A and others. Histologically, these lesions consist of small round cells expressing variable levels of CD99 and specific marker proteins, including cyclin B3, ETV4, WT1, NKX3-1 and aggrecan, depending on the entity. Besides locoregional treatment that should follow standard protocols for sarcoma management, (neo)adjuvant treatment is as yet ill-defined but generally follows that of Ewing sarcoma and is associated with adverse effects that might compromise quality of life. Emerging studies on the molecular mechanisms of SRCSs and the development of genetically engineered animal models hold promise for improvements in early detection, disease monitoring, treatment-related toxicity, overall survival and quality of life.","container-title":"Nature Reviews. Disease Primers","DOI":"10.1038/s41572-022-00393-3","ISSN":"2056-676X","issue":"1","journalAbbreviation":"Nat Rev Dis Primers","language":"eng","note":"PMID: 36202860","page":"66","source":"PubMed","title":"Small round cell sarcomas","volume":"8","author":[{"family":"Cidre-Aranaz","given":"Florencia"},{"family":"Watson","given":"Sarah"},{"family":"Amatruda","given":"James F."},{"family":"Nakamura","given":"Takuro"},{"family":"Delattre","given":"Olivier"},{"family":"Alava","given":"Enrique","non-dropping-particle":"de"},{"family":"Dirksen","given":"Uta"},{"family":"Grünewald","given":"Thomas G. P."}],"issued":{"date-parts":[["2022",10,6]]}}}],"schema":"https://github.com/citation-style-language/schema/raw/master/csl-citation.json"} </w:instrText>
      </w:r>
      <w:r>
        <w:rPr>
          <w:rFonts w:ascii="Calibri" w:hAnsi="Calibri" w:cs="Calibri"/>
          <w:sz w:val="22"/>
          <w:szCs w:val="22"/>
        </w:rPr>
        <w:fldChar w:fldCharType="separate"/>
      </w:r>
      <w:r w:rsidRPr="00037790">
        <w:rPr>
          <w:rFonts w:ascii="Calibri" w:hAnsi="Calibri" w:cs="Calibri"/>
          <w:sz w:val="22"/>
          <w:vertAlign w:val="superscript"/>
        </w:rPr>
        <w:t>1,2</w:t>
      </w:r>
      <w:r>
        <w:rPr>
          <w:rFonts w:ascii="Calibri" w:hAnsi="Calibri" w:cs="Calibri"/>
          <w:sz w:val="22"/>
          <w:szCs w:val="22"/>
        </w:rPr>
        <w:fldChar w:fldCharType="end"/>
      </w:r>
      <w:r w:rsidRPr="00937E90">
        <w:rPr>
          <w:sz w:val="22"/>
          <w:szCs w:val="22"/>
        </w:rPr>
        <w:t xml:space="preserve">. These cancers are genetically simple with a low mutational burden and are primarily driven by a single chromosomal translocation which fuses the </w:t>
      </w:r>
      <w:r w:rsidRPr="00B82291">
        <w:rPr>
          <w:i/>
          <w:iCs/>
          <w:sz w:val="22"/>
          <w:szCs w:val="22"/>
        </w:rPr>
        <w:t>CIC</w:t>
      </w:r>
      <w:r w:rsidRPr="00937E90">
        <w:rPr>
          <w:sz w:val="22"/>
          <w:szCs w:val="22"/>
        </w:rPr>
        <w:t xml:space="preserve"> gene to other partners such as </w:t>
      </w:r>
      <w:r w:rsidRPr="00B82291">
        <w:rPr>
          <w:i/>
          <w:iCs/>
          <w:sz w:val="22"/>
          <w:szCs w:val="22"/>
        </w:rPr>
        <w:t>DUX4</w:t>
      </w:r>
      <w:r w:rsidRPr="00937E90">
        <w:rPr>
          <w:sz w:val="22"/>
          <w:szCs w:val="22"/>
        </w:rPr>
        <w:t xml:space="preserve">, </w:t>
      </w:r>
      <w:r w:rsidRPr="00B82291">
        <w:rPr>
          <w:i/>
          <w:iCs/>
          <w:sz w:val="22"/>
          <w:szCs w:val="22"/>
        </w:rPr>
        <w:t>NUTM1</w:t>
      </w:r>
      <w:r w:rsidRPr="00937E90">
        <w:rPr>
          <w:sz w:val="22"/>
          <w:szCs w:val="22"/>
        </w:rPr>
        <w:t xml:space="preserve">, </w:t>
      </w:r>
      <w:r w:rsidRPr="00B82291">
        <w:rPr>
          <w:i/>
          <w:iCs/>
          <w:sz w:val="22"/>
          <w:szCs w:val="22"/>
        </w:rPr>
        <w:t>FOXO4</w:t>
      </w:r>
      <w:r w:rsidRPr="00937E90">
        <w:rPr>
          <w:sz w:val="22"/>
          <w:szCs w:val="22"/>
        </w:rPr>
        <w:t xml:space="preserve"> or </w:t>
      </w:r>
      <w:r w:rsidRPr="00B82291">
        <w:rPr>
          <w:i/>
          <w:iCs/>
          <w:sz w:val="22"/>
          <w:szCs w:val="22"/>
        </w:rPr>
        <w:t>LEUTX</w:t>
      </w:r>
      <w:r w:rsidR="00B82291">
        <w:rPr>
          <w:rFonts w:ascii="Calibri" w:hAnsi="Calibri" w:cs="Calibri"/>
          <w:sz w:val="22"/>
          <w:szCs w:val="22"/>
        </w:rPr>
        <w:fldChar w:fldCharType="begin"/>
      </w:r>
      <w:r w:rsidR="00B82291">
        <w:rPr>
          <w:rFonts w:ascii="Calibri" w:hAnsi="Calibri" w:cs="Calibri"/>
          <w:sz w:val="22"/>
          <w:szCs w:val="22"/>
        </w:rPr>
        <w:instrText xml:space="preserve"> ADDIN ZOTERO_ITEM CSL_CITATION {"citationID":"CAPHAYKU","properties":{"formattedCitation":"\\super 3\\nosupersub{}","plainCitation":"3","noteIndex":0},"citationItems":[{"id":1000,"uris":["http://zotero.org/users/13655192/items/MDKBH3X7"],"itemData":{"id":1000,"type":"article-journal","abstract":"Capicua (CIC)-rearranged sarcomas are an aggressive subset of undifferentiated round cell sarcomas. CIC::DUX4, the proto-typical CIC fusion oncoprotein is associated with rapid clinical progression and chemotherapy resistance leading to poor clinical outcomes. Recent studies have identified additional CIC fusions (CIC::NUTM1, CIC::FOXO4, and CIC::LEUTX) that largely retain CIC-binding specificity but leverage C-terminal binding partners (NUTM1, FOXO4, and LEUTX) to potentially activate transcriptional programs that drive oncogenesis. Moreover, the recent development of preclinical models to study CIC::DUX4 sarcoma have advanced our understanding of the underlying biological mechanisms and uncovered key dependencies that can be translated into rational therapies. In this review, we will highlight these recent advancements in CIC-rearranged sarcoma biology with a vision for clinical translation to improve patient outcomes.","container-title":"Frontiers in Cell and Developmental Biology","DOI":"10.3389/fcell.2024.1416697","ISSN":"2296-634X","journalAbbreviation":"Front Cell Dev Biol","language":"eng","note":"PMID: 38882060\nPMCID: PMC11176417","page":"1416697","source":"PubMed","title":"Molecular and therapeutic advancements in Capicua (CIC)-rearranged sarcoma","volume":"12","author":[{"family":"Ponce","given":"Rovingaile Kriska M."},{"family":"Luck","given":"Cuyler"},{"family":"Okimoto","given":"Ross A."}],"issued":{"date-parts":[["2024"]]}}}],"schema":"https://github.com/citation-style-language/schema/raw/master/csl-citation.json"} </w:instrText>
      </w:r>
      <w:r w:rsidR="00B82291">
        <w:rPr>
          <w:rFonts w:ascii="Calibri" w:hAnsi="Calibri" w:cs="Calibri"/>
          <w:sz w:val="22"/>
          <w:szCs w:val="22"/>
        </w:rPr>
        <w:fldChar w:fldCharType="separate"/>
      </w:r>
      <w:r w:rsidR="00B82291" w:rsidRPr="00037790">
        <w:rPr>
          <w:rFonts w:ascii="Calibri" w:hAnsi="Calibri" w:cs="Calibri"/>
          <w:sz w:val="22"/>
          <w:vertAlign w:val="superscript"/>
        </w:rPr>
        <w:t>3</w:t>
      </w:r>
      <w:r w:rsidR="00B82291">
        <w:rPr>
          <w:rFonts w:ascii="Calibri" w:hAnsi="Calibri" w:cs="Calibri"/>
          <w:sz w:val="22"/>
          <w:szCs w:val="22"/>
        </w:rPr>
        <w:fldChar w:fldCharType="end"/>
      </w:r>
      <w:r w:rsidRPr="00937E90">
        <w:rPr>
          <w:sz w:val="22"/>
          <w:szCs w:val="22"/>
        </w:rPr>
        <w:t xml:space="preserve">. The fusion of these two genes generates a potent oncogene which alone drives tumour formation and </w:t>
      </w:r>
      <w:r w:rsidR="00B82291">
        <w:rPr>
          <w:sz w:val="22"/>
          <w:szCs w:val="22"/>
        </w:rPr>
        <w:t>sustains cancer growth</w:t>
      </w:r>
      <w:r w:rsidRPr="00937E90">
        <w:rPr>
          <w:sz w:val="22"/>
          <w:szCs w:val="22"/>
        </w:rPr>
        <w:t>.</w:t>
      </w:r>
    </w:p>
    <w:p w14:paraId="35BEDC68" w14:textId="7C0BB642" w:rsidR="00937E90" w:rsidRPr="00937E90" w:rsidRDefault="00937E90" w:rsidP="00937E90">
      <w:pPr>
        <w:jc w:val="both"/>
        <w:rPr>
          <w:sz w:val="22"/>
          <w:szCs w:val="22"/>
        </w:rPr>
      </w:pPr>
      <w:r w:rsidRPr="00937E90">
        <w:rPr>
          <w:sz w:val="22"/>
          <w:szCs w:val="22"/>
        </w:rPr>
        <w:t>Due to the rarity</w:t>
      </w:r>
      <w:r w:rsidR="00B82291">
        <w:rPr>
          <w:sz w:val="22"/>
          <w:szCs w:val="22"/>
        </w:rPr>
        <w:t xml:space="preserve"> of these tumours</w:t>
      </w:r>
      <w:r w:rsidRPr="00937E90">
        <w:rPr>
          <w:sz w:val="22"/>
          <w:szCs w:val="22"/>
        </w:rPr>
        <w:t xml:space="preserve">, there is a significant lack of experimental models such as cell lines or mouse models to study </w:t>
      </w:r>
      <w:r w:rsidR="00A7472C">
        <w:rPr>
          <w:sz w:val="22"/>
          <w:szCs w:val="22"/>
        </w:rPr>
        <w:t>them</w:t>
      </w:r>
      <w:r w:rsidRPr="00937E90">
        <w:rPr>
          <w:sz w:val="22"/>
          <w:szCs w:val="22"/>
        </w:rPr>
        <w:t xml:space="preserve">. Consequently, current treatments are not tailored to the specific biology of CIC-rearranged tumours but instead follow protocols designed for Ewing sarcoma, a distinct cancer subtype. Unfortunately, CIC-rearranged tumours respond poorly to these generalised treatments, resulting in poor outcomes and a five-year survival rate of only about 35%. This project aims to address this critical gap by developing experimental systems that accurately replicate CIC-rearranged </w:t>
      </w:r>
      <w:r w:rsidR="00242FAC">
        <w:rPr>
          <w:sz w:val="22"/>
          <w:szCs w:val="22"/>
        </w:rPr>
        <w:t>tumours</w:t>
      </w:r>
      <w:r w:rsidRPr="00937E90">
        <w:rPr>
          <w:sz w:val="22"/>
          <w:szCs w:val="22"/>
        </w:rPr>
        <w:t>.</w:t>
      </w:r>
    </w:p>
    <w:p w14:paraId="6B9B9B8B" w14:textId="17038A7A" w:rsidR="00937E90" w:rsidRPr="00937E90" w:rsidRDefault="00937E90" w:rsidP="00937E90">
      <w:pPr>
        <w:jc w:val="both"/>
        <w:rPr>
          <w:sz w:val="22"/>
          <w:szCs w:val="22"/>
        </w:rPr>
      </w:pPr>
      <w:r w:rsidRPr="00937E90">
        <w:rPr>
          <w:sz w:val="22"/>
          <w:szCs w:val="22"/>
        </w:rPr>
        <w:t>Notably, CIC-rearranged tumours located in the brain can be diagnosed as either sarcomas or high-grade neuroepithelial tumours, which are considered two distinct entities that do not cluster transcriptionally or by DNA methylation</w:t>
      </w:r>
      <w:r w:rsidR="00242FAC">
        <w:rPr>
          <w:rFonts w:ascii="Calibri" w:hAnsi="Calibri" w:cs="Calibri"/>
          <w:sz w:val="22"/>
          <w:szCs w:val="22"/>
        </w:rPr>
        <w:fldChar w:fldCharType="begin"/>
      </w:r>
      <w:r w:rsidR="00242FAC">
        <w:rPr>
          <w:rFonts w:ascii="Calibri" w:hAnsi="Calibri" w:cs="Calibri"/>
          <w:sz w:val="22"/>
          <w:szCs w:val="22"/>
        </w:rPr>
        <w:instrText xml:space="preserve"> ADDIN ZOTERO_ITEM CSL_CITATION {"citationID":"B6XcComr","properties":{"formattedCitation":"\\super 4\\uc0\\u8211{}6\\nosupersub{}","plainCitation":"4–6","noteIndex":0},"citationItems":[{"id":908,"uris":["http://zotero.org/users/13655192/items/A5XPYQKW"],"itemData":{"id":908,"type":"article-journal","abstract":"Pediatric neoplasms in the central nervous system (CNS) show extensive clinical and molecular heterogeneity and are fundamentally different from those occurring in adults. Molecular genetic testing contributes to accurate diagnosis and enables an optimal clinical management of affected children. Here, we investigated a rare, molecularly distinct type of pediatric high-grade neuroepithelial tumor (n = 18), that was identified through unsupervised visualization of genome-wide DNA methylation array data, together with copy number profiling, targeted next-generation DNA sequencing, and RNA transcriptome sequencing. DNA and/or RNA sequencing revealed recurrent fusions involving the capicua transcriptional repressor (CIC) gene in 10/10 tumor samples analyzed, with the most common fusion being CIC::LEUTX (n = 9). In addition, a CIC::NUTM1 fusion was detected in one of the tumors. Apart from the detected fusion events, no additional oncogenic alteration was identified in these tumors. The histopathological review demonstrated a morphologically heterogeneous group of high-grade neuroepithelial tumors with positive immunostaining for markers of glial differentiation in combination with weak and focal expression of synaptophysin, CD56 and CD99. All tumors were located in the supratentorial compartment, occurred during childhood (median age 8.5 years) and typically showed early relapses. In summary, we expand the spectrum of pediatric-type tumors of the CNS by reporting a previously uncharacterized group of rare high-grade neuroepithelial tumors that share a common DNA methylation signature and recurrent gene fusions involving the transcriptional repressor CIC. Downstream functional consequences of the fusion protein CIC::LEUTX and potential therapeutic implications need to be further investigated.","container-title":"npj Precision Oncology","DOI":"10.1038/s41698-023-00372-1","ISSN":"2397-768X","issue":"1","journalAbbreviation":"npj Precis. Onc.","language":"en","license":"2023 The Author(s)","note":"publisher: Nature Publishing Group","page":"1-8","source":"www.nature.com","title":"Pediatric-type high-grade neuroepithelial tumors with CIC gene fusion share a common DNA methylation signature","volume":"7","author":[{"family":"Sievers","given":"Philipp"},{"family":"Sill","given":"Martin"},{"family":"Schrimpf","given":"Daniel"},{"family":"Abdullaev","given":"Zied"},{"family":"Donson","given":"Andrew M."},{"family":"Lake","given":"Jessica A."},{"family":"Friedel","given":"Dennis"},{"family":"Scheie","given":"David"},{"family":"Tynninen","given":"Olli"},{"family":"Rauramaa","given":"Tuomas"},{"family":"Vepsäläinen","given":"Kaisa L."},{"family":"Samuel","given":"David"},{"family":"Chapman","given":"Rebecca"},{"family":"Grundy","given":"Richard G."},{"family":"Pajtler","given":"Kristian W."},{"family":"Tauziède-Espariat","given":"Arnault"},{"family":"Métais","given":"Alice"},{"family":"Varlet","given":"Pascale"},{"family":"Snuderl","given":"Matija"},{"family":"Jacques","given":"Thomas S."},{"family":"Aldape","given":"Kenneth"},{"family":"Reuss","given":"David E."},{"family":"Korshunov","given":"Andrey"},{"family":"Wick","given":"Wolfgang"},{"family":"Pfister","given":"Stefan M."},{"family":"Deimling","given":"Andreas","non-dropping-particle":"von"},{"family":"Sahm","given":"Felix"},{"family":"Jones","given":"David T. W."}],"issued":{"date-parts":[["2023",3,24]]}}},{"id":910,"uris":["http://zotero.org/users/13655192/items/P7382EQ5"],"itemData":{"id":910,"type":"article-journal","container-title":"Acta Neuropathologica Communications","DOI":"10.1186/s40478-024-01824-w","ISSN":"2051-5960","issue":"1","journalAbbreviation":"Acta Neuropathologica Communications","page":"106","source":"BioMed Central","title":"Pediatric central nervous system tumor with CIC::LEUTX fusion: a diagnostic challenge","title-short":"Pediatric central nervous system tumor with CIC","volume":"12","author":[{"family":"Hou","given":"Yanghao"},{"family":"Du","given":"Yanru"},{"family":"Wang","given":"Juan"},{"family":"Zhang","given":"Xinke"},{"family":"Zhao","given":"Xueyan"},{"family":"Xian","given":"Xinyi"},{"family":"Yuan","given":"Li"},{"family":"Li","given":"Haigang"},{"family":"Wang","given":"Yu"},{"family":"Xi","given":"Shaoyan"},{"family":"Huang","given":"Guan"},{"family":"Zhu","given":"Wenbiao"},{"family":"Wang","given":"Juan"},{"family":"Zhu","given":"Jin"},{"family":"Yu","given":"Qiubo"},{"family":"Cao","given":"Youde"},{"family":"Wu","given":"JingXian"},{"family":"Zeng","given":"Jing"},{"family":"Dong","given":"Gehong"},{"family":"Hu","given":"Wanming"}],"issued":{"date-parts":[["2024",6,27]]}}},{"id":947,"uris":["http://zotero.org/users/13655192/items/9DJ2EAWK"],"itemData":{"id":947,"type":"article-journal","abstract":"CIC fusions have been described in two different central nervous system (CNS) tumor entities. On one hand, fusions of CIC or ATXN1 genes belonging to the same complex of transcriptional repressors, were reported in the CIC-rearranged, sarcoma (SARC-CIC). The diagnosis of this tumor type, which was recently added to the World Health Organization (WHO) Classification of CNS tumors, is difficult mainly because the data concerning its histopathology (as compared to its soft tissue counterpart), immunoprofile, and clinical as well as radiological characteristics are scarce in the literature. On the other hand, a recent study, based on DNA-methylation profiling, has identified a novel high-grade neuroepithelial tumor characterized by recurrent CIC fusions (HGNET-CIC). The aim of this multicentric study was to characterize a cohort of 15 primary CNS tumors harboring a CIC or ATXN1 fusion in terms of clinical, radiological, histopathological, immunophenotypical, and epigenetic characteristics. According to the integrated diagnoses, 14/15 tumors corresponded to SARC-CIC, and only one to HGNET-CIC. The tumors showed similar clinical (mainly pediatric), radiological (mostly supratentorial, cystic, and contrast enhancing), immunophenotypical (common expression of glioneuronal markers), and genetic (similar spectrum of fusions) profiles but their histopathological appearance was clearly distinct. Moreover, we found a novel fusion transcript (CIC::EWSR1) in a SARC-CIC. Most DNA methylation profiles using the Heidelberg Brain Tumor Classifier (v12.8) annotated the samples to the methylation class \"SARC-CIC\" (9/14 tumors with available data). By using uniform manifold approximation and projection analysis, four other samples were classified as SARC-CIC and another clustered within the methylation class of HGNET-CIC. Our findings confirm that CNS CIC-fused tumors do not represent a single molecular tumor entity. Further analyses are needed to characterize HGNET-CIC in more detail. These results may help to refine the essential diagnostic criteria for SARC-CIC and their terminology (with a suggested consensual name of sarcoma, CIC/ATXN1-complex rearranged).","container-title":"Brain Pathology (Zurich, Switzerland)","DOI":"10.1111/bpa.13303","ISSN":"1750-3639","journalAbbreviation":"Brain Pathol","language":"eng","note":"PMID: 39442927","page":"e13303","source":"PubMed","title":"CIC/ATXN1-rearranged tumors in the central nervous system are mainly represented by sarcomas: A comprehensive clinicopathological and epigenetic series","title-short":"CIC/ATXN1-rearranged tumors in the central nervous system are mainly represented by sarcomas","author":[{"family":"Tauziède-Espariat","given":"Arnault"},{"family":"Ebrahimi","given":"Azadeh"},{"family":"Boddaert","given":"Nathalie"},{"family":"Pietsch","given":"Torsten"},{"family":"Grajkowska","given":"Wieslawa"},{"family":"Blau","given":"Tobias"},{"family":"Koch","given":"Arend"},{"family":"Sievers","given":"Philipp"},{"family":"Guillemot","given":"Delphine"},{"family":"Pierron","given":"Gaëlle"},{"family":"Uro-Coste","given":"Emmanuelle"},{"family":"Nicaise","given":"Yvan"},{"family":"Siegfried","given":"Aurore"},{"family":"Gilles","given":"Adam"},{"family":"Bielle","given":"Franck"},{"family":"Mokhtari","given":"Karima"},{"family":"Cazals-Hatem","given":"Dominique"},{"family":"Iakovlev","given":"Gueorgui"},{"family":"Lhermitte","given":"Benoît"},{"family":"Entz-Werle","given":"Natacha"},{"family":"Csanyi","given":"Marie"},{"family":"Maurage","given":"Claude-Alain"},{"family":"Legrand","given":"Victor"},{"family":"Boutonnat","given":"Jean"},{"family":"Godfraind","given":"Catherine"},{"family":"McLeer","given":"Anne"},{"family":"Hasty","given":"Lauren"},{"family":"Métais","given":"Alice"},{"family":"Aboubakr","given":"Oumaima"},{"family":"Blauwblomme","given":"Thomas"},{"family":"Beccaria","given":"Kévin"},{"family":"Dangouloff-Ros","given":"Volodia"},{"family":"Varlet","given":"Pascale"},{"literal":"RENOCLIP‐LOC"}],"issued":{"date-parts":[["2024",10,23]]}}}],"schema":"https://github.com/citation-style-language/schema/raw/master/csl-citation.json"} </w:instrText>
      </w:r>
      <w:r w:rsidR="00242FAC">
        <w:rPr>
          <w:rFonts w:ascii="Calibri" w:hAnsi="Calibri" w:cs="Calibri"/>
          <w:sz w:val="22"/>
          <w:szCs w:val="22"/>
        </w:rPr>
        <w:fldChar w:fldCharType="separate"/>
      </w:r>
      <w:r w:rsidR="00242FAC" w:rsidRPr="00037790">
        <w:rPr>
          <w:rFonts w:ascii="Calibri" w:hAnsi="Calibri" w:cs="Calibri"/>
          <w:sz w:val="22"/>
          <w:vertAlign w:val="superscript"/>
        </w:rPr>
        <w:t>4–6</w:t>
      </w:r>
      <w:r w:rsidR="00242FAC">
        <w:rPr>
          <w:rFonts w:ascii="Calibri" w:hAnsi="Calibri" w:cs="Calibri"/>
          <w:sz w:val="22"/>
          <w:szCs w:val="22"/>
        </w:rPr>
        <w:fldChar w:fldCharType="end"/>
      </w:r>
      <w:r w:rsidRPr="00937E90">
        <w:rPr>
          <w:sz w:val="22"/>
          <w:szCs w:val="22"/>
        </w:rPr>
        <w:t xml:space="preserve">. However, it remains unclear whether these differences reflect meaningful variations in the biology of the oncogene or if they are due to </w:t>
      </w:r>
      <w:r w:rsidR="00220491">
        <w:rPr>
          <w:sz w:val="22"/>
          <w:szCs w:val="22"/>
        </w:rPr>
        <w:t>the</w:t>
      </w:r>
      <w:r w:rsidRPr="00937E90">
        <w:rPr>
          <w:sz w:val="22"/>
          <w:szCs w:val="22"/>
        </w:rPr>
        <w:t xml:space="preserve"> cells of origin.</w:t>
      </w:r>
    </w:p>
    <w:p w14:paraId="206DF4F9" w14:textId="7332A81F" w:rsidR="00937E90" w:rsidRPr="00937E90" w:rsidRDefault="00937E90" w:rsidP="00937E90">
      <w:pPr>
        <w:jc w:val="both"/>
        <w:rPr>
          <w:sz w:val="22"/>
          <w:szCs w:val="22"/>
        </w:rPr>
      </w:pPr>
      <w:r w:rsidRPr="00937E90">
        <w:rPr>
          <w:sz w:val="22"/>
          <w:szCs w:val="22"/>
        </w:rPr>
        <w:t xml:space="preserve">In this project, the student will develop new pre-clinical models to study CIC-rearranged tumours and compare </w:t>
      </w:r>
      <w:r w:rsidR="00982E94">
        <w:rPr>
          <w:sz w:val="22"/>
          <w:szCs w:val="22"/>
        </w:rPr>
        <w:t>how</w:t>
      </w:r>
      <w:r w:rsidRPr="00937E90">
        <w:rPr>
          <w:sz w:val="22"/>
          <w:szCs w:val="22"/>
        </w:rPr>
        <w:t xml:space="preserve"> three different cells of origin: mesenchymal stem cells, neural crest cells, and chondrocytes </w:t>
      </w:r>
      <w:r w:rsidR="00982E94">
        <w:rPr>
          <w:sz w:val="22"/>
          <w:szCs w:val="22"/>
        </w:rPr>
        <w:t>impact</w:t>
      </w:r>
      <w:r w:rsidR="002C4ADD">
        <w:rPr>
          <w:sz w:val="22"/>
          <w:szCs w:val="22"/>
        </w:rPr>
        <w:t xml:space="preserve"> the biology of</w:t>
      </w:r>
      <w:r w:rsidRPr="00937E90">
        <w:rPr>
          <w:sz w:val="22"/>
          <w:szCs w:val="22"/>
        </w:rPr>
        <w:t xml:space="preserve"> CIC fusions. The study aims to provide new </w:t>
      </w:r>
      <w:r w:rsidR="00AF1361">
        <w:rPr>
          <w:sz w:val="22"/>
          <w:szCs w:val="22"/>
        </w:rPr>
        <w:t>pre-clinical models</w:t>
      </w:r>
      <w:r w:rsidR="00AF1361" w:rsidRPr="00937E90">
        <w:rPr>
          <w:sz w:val="22"/>
          <w:szCs w:val="22"/>
        </w:rPr>
        <w:t xml:space="preserve"> </w:t>
      </w:r>
      <w:r w:rsidR="00AF1361">
        <w:rPr>
          <w:sz w:val="22"/>
          <w:szCs w:val="22"/>
        </w:rPr>
        <w:t xml:space="preserve">that will be used to </w:t>
      </w:r>
      <w:r w:rsidRPr="00937E90">
        <w:rPr>
          <w:sz w:val="22"/>
          <w:szCs w:val="22"/>
        </w:rPr>
        <w:t>investigate the effects of different cells of origin on the biology of the fusion protein</w:t>
      </w:r>
      <w:r w:rsidR="00AF1361">
        <w:rPr>
          <w:sz w:val="22"/>
          <w:szCs w:val="22"/>
        </w:rPr>
        <w:t xml:space="preserve"> and </w:t>
      </w:r>
      <w:r w:rsidR="00C25761">
        <w:rPr>
          <w:sz w:val="22"/>
          <w:szCs w:val="22"/>
        </w:rPr>
        <w:t>serve as</w:t>
      </w:r>
      <w:r w:rsidR="00AF1361">
        <w:rPr>
          <w:sz w:val="22"/>
          <w:szCs w:val="22"/>
        </w:rPr>
        <w:t xml:space="preserve"> future </w:t>
      </w:r>
      <w:r w:rsidR="00C25761">
        <w:rPr>
          <w:sz w:val="22"/>
          <w:szCs w:val="22"/>
        </w:rPr>
        <w:t>tools to test</w:t>
      </w:r>
      <w:r w:rsidR="00FD13B3" w:rsidRPr="00937E90">
        <w:rPr>
          <w:sz w:val="22"/>
          <w:szCs w:val="22"/>
        </w:rPr>
        <w:t xml:space="preserve"> </w:t>
      </w:r>
      <w:r w:rsidR="00C25761">
        <w:rPr>
          <w:sz w:val="22"/>
          <w:szCs w:val="22"/>
        </w:rPr>
        <w:t>novel</w:t>
      </w:r>
      <w:r w:rsidR="00FD13B3" w:rsidRPr="00937E90">
        <w:rPr>
          <w:sz w:val="22"/>
          <w:szCs w:val="22"/>
        </w:rPr>
        <w:t xml:space="preserve"> therapeutic </w:t>
      </w:r>
      <w:r w:rsidR="00C25761">
        <w:rPr>
          <w:sz w:val="22"/>
          <w:szCs w:val="22"/>
        </w:rPr>
        <w:t>strategies.</w:t>
      </w:r>
    </w:p>
    <w:p w14:paraId="0137BCDB" w14:textId="5FF19ACA" w:rsidR="00FD38A7" w:rsidRPr="00647D4A" w:rsidRDefault="00A40DCB" w:rsidP="00FC22E0">
      <w:pPr>
        <w:jc w:val="both"/>
        <w:rPr>
          <w:b/>
          <w:bCs/>
          <w:sz w:val="22"/>
          <w:szCs w:val="22"/>
        </w:rPr>
      </w:pPr>
      <w:r w:rsidRPr="00FD38A7">
        <w:rPr>
          <w:b/>
          <w:bCs/>
          <w:sz w:val="22"/>
          <w:szCs w:val="22"/>
        </w:rPr>
        <w:lastRenderedPageBreak/>
        <w:t>Relevance to Cancer:</w:t>
      </w:r>
      <w:r w:rsidR="002623D6" w:rsidRPr="00FD38A7">
        <w:rPr>
          <w:b/>
          <w:bCs/>
          <w:sz w:val="22"/>
          <w:szCs w:val="22"/>
        </w:rPr>
        <w:t xml:space="preserve"> </w:t>
      </w:r>
      <w:r w:rsidR="002623D6" w:rsidRPr="00FD38A7">
        <w:rPr>
          <w:b/>
          <w:bCs/>
          <w:sz w:val="22"/>
          <w:szCs w:val="22"/>
        </w:rPr>
        <w:tab/>
      </w:r>
    </w:p>
    <w:p w14:paraId="5254D5D4" w14:textId="6286DB3B" w:rsidR="00FD38A7" w:rsidRPr="00D0011A" w:rsidRDefault="00647D4A" w:rsidP="00FC22E0">
      <w:pPr>
        <w:jc w:val="both"/>
        <w:rPr>
          <w:rFonts w:ascii="Calibri" w:hAnsi="Calibri" w:cs="Calibri"/>
          <w:sz w:val="22"/>
          <w:szCs w:val="22"/>
        </w:rPr>
      </w:pPr>
      <w:r w:rsidRPr="00FF6A33">
        <w:rPr>
          <w:rFonts w:ascii="Calibri" w:hAnsi="Calibri" w:cs="Calibri"/>
          <w:sz w:val="22"/>
          <w:szCs w:val="22"/>
        </w:rPr>
        <w:t xml:space="preserve">This project focuses on aggressive childhood </w:t>
      </w:r>
      <w:r w:rsidR="00D47512">
        <w:rPr>
          <w:rFonts w:ascii="Calibri" w:hAnsi="Calibri" w:cs="Calibri"/>
          <w:sz w:val="22"/>
          <w:szCs w:val="22"/>
        </w:rPr>
        <w:t>cancers</w:t>
      </w:r>
      <w:r w:rsidRPr="00FF6A33">
        <w:rPr>
          <w:rFonts w:ascii="Calibri" w:hAnsi="Calibri" w:cs="Calibri"/>
          <w:sz w:val="22"/>
          <w:szCs w:val="22"/>
        </w:rPr>
        <w:t xml:space="preserve"> involving the CIC gene. The </w:t>
      </w:r>
      <w:r w:rsidRPr="00FF6A33">
        <w:rPr>
          <w:rFonts w:ascii="Calibri" w:hAnsi="Calibri" w:cs="Calibri"/>
          <w:i/>
          <w:iCs/>
          <w:sz w:val="22"/>
          <w:szCs w:val="22"/>
        </w:rPr>
        <w:t>in vitro</w:t>
      </w:r>
      <w:r w:rsidRPr="00FF6A33">
        <w:rPr>
          <w:rFonts w:ascii="Calibri" w:hAnsi="Calibri" w:cs="Calibri"/>
          <w:sz w:val="22"/>
          <w:szCs w:val="22"/>
        </w:rPr>
        <w:t xml:space="preserve"> tools </w:t>
      </w:r>
      <w:r w:rsidR="004021C1">
        <w:rPr>
          <w:rFonts w:ascii="Calibri" w:hAnsi="Calibri" w:cs="Calibri"/>
          <w:sz w:val="22"/>
          <w:szCs w:val="22"/>
        </w:rPr>
        <w:t xml:space="preserve">generated in this project </w:t>
      </w:r>
      <w:r w:rsidRPr="00FF6A33">
        <w:rPr>
          <w:rFonts w:ascii="Calibri" w:hAnsi="Calibri" w:cs="Calibri"/>
          <w:sz w:val="22"/>
          <w:szCs w:val="22"/>
        </w:rPr>
        <w:t>will enable us to better understand the biology of these tumours and identify targeted therapies that could improve patient outcomes while reducing treatment-related toxicity</w:t>
      </w:r>
      <w:r w:rsidR="00BF68C4">
        <w:rPr>
          <w:rFonts w:ascii="Calibri" w:hAnsi="Calibri" w:cs="Calibri"/>
          <w:sz w:val="22"/>
          <w:szCs w:val="22"/>
        </w:rPr>
        <w:t>.</w:t>
      </w:r>
    </w:p>
    <w:p w14:paraId="6C469BD9" w14:textId="132DDFF6" w:rsidR="00FD38A7" w:rsidRPr="00FD38A7" w:rsidRDefault="00FD38A7" w:rsidP="00FC22E0">
      <w:pPr>
        <w:jc w:val="both"/>
        <w:rPr>
          <w:sz w:val="22"/>
          <w:szCs w:val="22"/>
        </w:rPr>
      </w:pPr>
    </w:p>
    <w:p w14:paraId="4DD49A2F" w14:textId="53444712" w:rsidR="00E77B54" w:rsidRPr="00397D77" w:rsidRDefault="00B6203A" w:rsidP="00E77B54">
      <w:pPr>
        <w:jc w:val="both"/>
        <w:rPr>
          <w:b/>
          <w:bCs/>
          <w:sz w:val="22"/>
          <w:szCs w:val="22"/>
        </w:rPr>
      </w:pPr>
      <w:r>
        <w:rPr>
          <w:noProof/>
          <w:sz w:val="22"/>
          <w:szCs w:val="22"/>
        </w:rPr>
        <w:drawing>
          <wp:anchor distT="0" distB="0" distL="114300" distR="114300" simplePos="0" relativeHeight="251660288" behindDoc="0" locked="0" layoutInCell="1" allowOverlap="1" wp14:anchorId="2244C76C" wp14:editId="0D9DB2CD">
            <wp:simplePos x="0" y="0"/>
            <wp:positionH relativeFrom="margin">
              <wp:align>center</wp:align>
            </wp:positionH>
            <wp:positionV relativeFrom="paragraph">
              <wp:posOffset>199965</wp:posOffset>
            </wp:positionV>
            <wp:extent cx="5727198" cy="1924301"/>
            <wp:effectExtent l="0" t="0" r="0" b="0"/>
            <wp:wrapTopAndBottom/>
            <wp:docPr id="18123902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1239025" name="Picture 181239025"/>
                    <pic:cNvPicPr/>
                  </pic:nvPicPr>
                  <pic:blipFill rotWithShape="1">
                    <a:blip r:embed="rId8"/>
                    <a:srcRect t="6568" b="45885"/>
                    <a:stretch/>
                  </pic:blipFill>
                  <pic:spPr bwMode="auto">
                    <a:xfrm>
                      <a:off x="0" y="0"/>
                      <a:ext cx="5727198" cy="1924301"/>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A40DCB" w:rsidRPr="00FD38A7">
        <w:rPr>
          <w:b/>
          <w:bCs/>
          <w:sz w:val="22"/>
          <w:szCs w:val="22"/>
        </w:rPr>
        <w:t>Techniques/model systems</w:t>
      </w:r>
      <w:r w:rsidR="00B402B9">
        <w:rPr>
          <w:b/>
          <w:bCs/>
          <w:sz w:val="22"/>
          <w:szCs w:val="22"/>
        </w:rPr>
        <w:t xml:space="preserve"> to be used</w:t>
      </w:r>
      <w:r w:rsidR="00A40DCB" w:rsidRPr="00FD38A7">
        <w:rPr>
          <w:b/>
          <w:bCs/>
          <w:sz w:val="22"/>
          <w:szCs w:val="22"/>
        </w:rPr>
        <w:t>:</w:t>
      </w:r>
      <w:r w:rsidR="002623D6" w:rsidRPr="00FD38A7">
        <w:rPr>
          <w:b/>
          <w:bCs/>
          <w:sz w:val="22"/>
          <w:szCs w:val="22"/>
        </w:rPr>
        <w:t xml:space="preserve"> </w:t>
      </w:r>
      <w:r w:rsidR="002623D6" w:rsidRPr="00FD38A7">
        <w:rPr>
          <w:b/>
          <w:bCs/>
          <w:sz w:val="22"/>
          <w:szCs w:val="22"/>
        </w:rPr>
        <w:tab/>
      </w:r>
    </w:p>
    <w:p w14:paraId="65E7BA24" w14:textId="46F24F36" w:rsidR="00E77B54" w:rsidRPr="00155545" w:rsidRDefault="00E77B54" w:rsidP="00397D77">
      <w:pPr>
        <w:pStyle w:val="ListParagraph"/>
        <w:numPr>
          <w:ilvl w:val="0"/>
          <w:numId w:val="6"/>
        </w:numPr>
        <w:ind w:left="340" w:hanging="170"/>
        <w:jc w:val="both"/>
        <w:rPr>
          <w:rFonts w:ascii="Calibri" w:hAnsi="Calibri" w:cs="Calibri"/>
          <w:sz w:val="22"/>
          <w:szCs w:val="22"/>
        </w:rPr>
      </w:pPr>
      <w:r w:rsidRPr="00E77B54">
        <w:rPr>
          <w:rFonts w:ascii="Calibri" w:hAnsi="Calibri" w:cs="Calibri"/>
          <w:sz w:val="22"/>
          <w:szCs w:val="22"/>
        </w:rPr>
        <w:t>Cell culture of human primary mesenchymal stem cells, and differentiation of human embryonic stem cells into neural crest cells and chondrocytes.</w:t>
      </w:r>
    </w:p>
    <w:p w14:paraId="0410CFFE" w14:textId="0E8271FB" w:rsidR="00E77B54" w:rsidRPr="00155545" w:rsidRDefault="00E77B54" w:rsidP="00397D77">
      <w:pPr>
        <w:pStyle w:val="ListParagraph"/>
        <w:numPr>
          <w:ilvl w:val="0"/>
          <w:numId w:val="6"/>
        </w:numPr>
        <w:ind w:left="340" w:hanging="170"/>
        <w:jc w:val="both"/>
        <w:rPr>
          <w:rFonts w:ascii="Calibri" w:hAnsi="Calibri" w:cs="Calibri"/>
          <w:sz w:val="22"/>
          <w:szCs w:val="22"/>
        </w:rPr>
      </w:pPr>
      <w:r w:rsidRPr="00E77B54">
        <w:rPr>
          <w:rFonts w:ascii="Calibri" w:hAnsi="Calibri" w:cs="Calibri"/>
          <w:sz w:val="22"/>
          <w:szCs w:val="22"/>
        </w:rPr>
        <w:t>Lentiviral-mediated stable expression of oncogenic fusion proteins.</w:t>
      </w:r>
    </w:p>
    <w:p w14:paraId="56A04AF7" w14:textId="77777777" w:rsidR="00D476A4" w:rsidRDefault="00E77B54" w:rsidP="00D476A4">
      <w:pPr>
        <w:pStyle w:val="ListParagraph"/>
        <w:numPr>
          <w:ilvl w:val="0"/>
          <w:numId w:val="6"/>
        </w:numPr>
        <w:ind w:left="340" w:hanging="170"/>
        <w:jc w:val="both"/>
        <w:rPr>
          <w:rFonts w:ascii="Calibri" w:hAnsi="Calibri" w:cs="Calibri"/>
          <w:sz w:val="22"/>
          <w:szCs w:val="22"/>
        </w:rPr>
      </w:pPr>
      <w:r w:rsidRPr="00E77B54">
        <w:rPr>
          <w:rFonts w:ascii="Calibri" w:hAnsi="Calibri" w:cs="Calibri"/>
          <w:sz w:val="22"/>
          <w:szCs w:val="22"/>
        </w:rPr>
        <w:t xml:space="preserve">Mouse injection for </w:t>
      </w:r>
      <w:r w:rsidR="00155545" w:rsidRPr="00E77B54">
        <w:rPr>
          <w:rFonts w:ascii="Calibri" w:hAnsi="Calibri" w:cs="Calibri"/>
          <w:sz w:val="22"/>
          <w:szCs w:val="22"/>
        </w:rPr>
        <w:t>tumour</w:t>
      </w:r>
      <w:r w:rsidRPr="00E77B54">
        <w:rPr>
          <w:rFonts w:ascii="Calibri" w:hAnsi="Calibri" w:cs="Calibri"/>
          <w:sz w:val="22"/>
          <w:szCs w:val="22"/>
        </w:rPr>
        <w:t xml:space="preserve"> formation, </w:t>
      </w:r>
      <w:r w:rsidR="00155545" w:rsidRPr="00E77B54">
        <w:rPr>
          <w:rFonts w:ascii="Calibri" w:hAnsi="Calibri" w:cs="Calibri"/>
          <w:sz w:val="22"/>
          <w:szCs w:val="22"/>
        </w:rPr>
        <w:t>tumour</w:t>
      </w:r>
      <w:r w:rsidRPr="00E77B54">
        <w:rPr>
          <w:rFonts w:ascii="Calibri" w:hAnsi="Calibri" w:cs="Calibri"/>
          <w:sz w:val="22"/>
          <w:szCs w:val="22"/>
        </w:rPr>
        <w:t xml:space="preserve"> monitoring, and surgical removal of </w:t>
      </w:r>
      <w:r w:rsidR="00155545" w:rsidRPr="00E77B54">
        <w:rPr>
          <w:rFonts w:ascii="Calibri" w:hAnsi="Calibri" w:cs="Calibri"/>
          <w:sz w:val="22"/>
          <w:szCs w:val="22"/>
        </w:rPr>
        <w:t>tumours</w:t>
      </w:r>
      <w:r w:rsidRPr="00E77B54">
        <w:rPr>
          <w:rFonts w:ascii="Calibri" w:hAnsi="Calibri" w:cs="Calibri"/>
          <w:sz w:val="22"/>
          <w:szCs w:val="22"/>
        </w:rPr>
        <w:t xml:space="preserve"> to establish </w:t>
      </w:r>
      <w:r w:rsidRPr="00155545">
        <w:rPr>
          <w:rFonts w:ascii="Calibri" w:hAnsi="Calibri" w:cs="Calibri"/>
          <w:i/>
          <w:iCs/>
          <w:sz w:val="22"/>
          <w:szCs w:val="22"/>
        </w:rPr>
        <w:t xml:space="preserve">in vitro </w:t>
      </w:r>
      <w:r w:rsidRPr="00E77B54">
        <w:rPr>
          <w:rFonts w:ascii="Calibri" w:hAnsi="Calibri" w:cs="Calibri"/>
          <w:sz w:val="22"/>
          <w:szCs w:val="22"/>
        </w:rPr>
        <w:t>cell cultures.</w:t>
      </w:r>
    </w:p>
    <w:p w14:paraId="1C384EB8" w14:textId="43A793B1" w:rsidR="00D476A4" w:rsidRPr="00D02186" w:rsidRDefault="00D476A4" w:rsidP="00D02186">
      <w:pPr>
        <w:pStyle w:val="ListParagraph"/>
        <w:numPr>
          <w:ilvl w:val="0"/>
          <w:numId w:val="6"/>
        </w:numPr>
        <w:ind w:left="340" w:hanging="170"/>
        <w:jc w:val="both"/>
        <w:rPr>
          <w:rFonts w:ascii="Calibri" w:hAnsi="Calibri" w:cs="Calibri"/>
          <w:sz w:val="22"/>
          <w:szCs w:val="22"/>
        </w:rPr>
      </w:pPr>
      <w:r w:rsidRPr="00D476A4">
        <w:rPr>
          <w:rFonts w:ascii="Calibri" w:hAnsi="Calibri" w:cs="Calibri"/>
          <w:sz w:val="22"/>
          <w:szCs w:val="22"/>
        </w:rPr>
        <w:t xml:space="preserve">Verifying that the </w:t>
      </w:r>
      <w:r w:rsidR="00D02186">
        <w:rPr>
          <w:rFonts w:ascii="Calibri" w:hAnsi="Calibri" w:cs="Calibri"/>
          <w:sz w:val="22"/>
          <w:szCs w:val="22"/>
        </w:rPr>
        <w:t xml:space="preserve">presence of the </w:t>
      </w:r>
      <w:r w:rsidRPr="00D476A4">
        <w:rPr>
          <w:rFonts w:ascii="Calibri" w:hAnsi="Calibri" w:cs="Calibri"/>
          <w:sz w:val="22"/>
          <w:szCs w:val="22"/>
        </w:rPr>
        <w:t xml:space="preserve">fusion proteins </w:t>
      </w:r>
      <w:r w:rsidR="00B92D57" w:rsidRPr="00D476A4">
        <w:rPr>
          <w:rFonts w:ascii="Calibri" w:hAnsi="Calibri" w:cs="Calibri"/>
          <w:sz w:val="22"/>
          <w:szCs w:val="22"/>
        </w:rPr>
        <w:t>is</w:t>
      </w:r>
      <w:r w:rsidRPr="00D476A4">
        <w:rPr>
          <w:rFonts w:ascii="Calibri" w:hAnsi="Calibri" w:cs="Calibri"/>
          <w:sz w:val="22"/>
          <w:szCs w:val="22"/>
        </w:rPr>
        <w:t xml:space="preserve"> essential for the </w:t>
      </w:r>
      <w:r w:rsidRPr="00D476A4">
        <w:rPr>
          <w:rFonts w:ascii="Calibri" w:hAnsi="Calibri" w:cs="Calibri"/>
          <w:sz w:val="22"/>
          <w:szCs w:val="22"/>
        </w:rPr>
        <w:t>tumour</w:t>
      </w:r>
      <w:r w:rsidRPr="00D476A4">
        <w:rPr>
          <w:rFonts w:ascii="Calibri" w:hAnsi="Calibri" w:cs="Calibri"/>
          <w:sz w:val="22"/>
          <w:szCs w:val="22"/>
        </w:rPr>
        <w:t xml:space="preserve"> models</w:t>
      </w:r>
      <w:r w:rsidR="00D02186">
        <w:rPr>
          <w:rFonts w:ascii="Calibri" w:hAnsi="Calibri" w:cs="Calibri"/>
          <w:sz w:val="22"/>
          <w:szCs w:val="22"/>
        </w:rPr>
        <w:t>’</w:t>
      </w:r>
      <w:r w:rsidRPr="00D476A4">
        <w:rPr>
          <w:rFonts w:ascii="Calibri" w:hAnsi="Calibri" w:cs="Calibri"/>
          <w:sz w:val="22"/>
          <w:szCs w:val="22"/>
        </w:rPr>
        <w:t xml:space="preserve"> </w:t>
      </w:r>
      <w:r w:rsidR="00D02186">
        <w:rPr>
          <w:rFonts w:ascii="Calibri" w:hAnsi="Calibri" w:cs="Calibri"/>
          <w:sz w:val="22"/>
          <w:szCs w:val="22"/>
        </w:rPr>
        <w:t>viability.</w:t>
      </w:r>
    </w:p>
    <w:p w14:paraId="08F37E4A" w14:textId="3059820F" w:rsidR="00E77B54" w:rsidRDefault="00E77B54" w:rsidP="00397D77">
      <w:pPr>
        <w:pStyle w:val="ListParagraph"/>
        <w:numPr>
          <w:ilvl w:val="0"/>
          <w:numId w:val="6"/>
        </w:numPr>
        <w:ind w:left="340" w:hanging="170"/>
        <w:jc w:val="both"/>
        <w:rPr>
          <w:rFonts w:ascii="Calibri" w:hAnsi="Calibri" w:cs="Calibri"/>
          <w:sz w:val="22"/>
          <w:szCs w:val="22"/>
        </w:rPr>
      </w:pPr>
      <w:r w:rsidRPr="00E77B54">
        <w:rPr>
          <w:rFonts w:ascii="Calibri" w:hAnsi="Calibri" w:cs="Calibri"/>
          <w:sz w:val="22"/>
          <w:szCs w:val="22"/>
        </w:rPr>
        <w:t>Characteri</w:t>
      </w:r>
      <w:r w:rsidR="00B92D57">
        <w:rPr>
          <w:rFonts w:ascii="Calibri" w:hAnsi="Calibri" w:cs="Calibri"/>
          <w:sz w:val="22"/>
          <w:szCs w:val="22"/>
        </w:rPr>
        <w:t>s</w:t>
      </w:r>
      <w:r w:rsidRPr="00E77B54">
        <w:rPr>
          <w:rFonts w:ascii="Calibri" w:hAnsi="Calibri" w:cs="Calibri"/>
          <w:sz w:val="22"/>
          <w:szCs w:val="22"/>
        </w:rPr>
        <w:t>ation of the models through</w:t>
      </w:r>
      <w:r w:rsidR="00C334A6">
        <w:rPr>
          <w:rFonts w:ascii="Calibri" w:hAnsi="Calibri" w:cs="Calibri"/>
          <w:sz w:val="22"/>
          <w:szCs w:val="22"/>
        </w:rPr>
        <w:t xml:space="preserve"> t</w:t>
      </w:r>
      <w:r w:rsidRPr="00155545">
        <w:rPr>
          <w:rFonts w:ascii="Calibri" w:hAnsi="Calibri" w:cs="Calibri"/>
          <w:sz w:val="22"/>
          <w:szCs w:val="22"/>
        </w:rPr>
        <w:t>ranscriptomic analysis</w:t>
      </w:r>
      <w:r w:rsidR="00397D77">
        <w:rPr>
          <w:rFonts w:ascii="Calibri" w:hAnsi="Calibri" w:cs="Calibri"/>
          <w:sz w:val="22"/>
          <w:szCs w:val="22"/>
        </w:rPr>
        <w:t xml:space="preserve"> and g</w:t>
      </w:r>
      <w:r w:rsidRPr="00397D77">
        <w:rPr>
          <w:rFonts w:ascii="Calibri" w:hAnsi="Calibri" w:cs="Calibri"/>
          <w:sz w:val="22"/>
          <w:szCs w:val="22"/>
        </w:rPr>
        <w:t>enom</w:t>
      </w:r>
      <w:r w:rsidR="009E5CAD">
        <w:rPr>
          <w:rFonts w:ascii="Calibri" w:hAnsi="Calibri" w:cs="Calibri"/>
          <w:sz w:val="22"/>
          <w:szCs w:val="22"/>
        </w:rPr>
        <w:t>e occupancy</w:t>
      </w:r>
      <w:r w:rsidRPr="00397D77">
        <w:rPr>
          <w:rFonts w:ascii="Calibri" w:hAnsi="Calibri" w:cs="Calibri"/>
          <w:sz w:val="22"/>
          <w:szCs w:val="22"/>
        </w:rPr>
        <w:t xml:space="preserve"> analysis</w:t>
      </w:r>
      <w:r w:rsidR="009E5CAD">
        <w:rPr>
          <w:rFonts w:ascii="Calibri" w:hAnsi="Calibri" w:cs="Calibri"/>
          <w:sz w:val="22"/>
          <w:szCs w:val="22"/>
        </w:rPr>
        <w:t>.</w:t>
      </w:r>
    </w:p>
    <w:p w14:paraId="622B56BD" w14:textId="77777777" w:rsidR="00D02186" w:rsidRDefault="00D02186" w:rsidP="00B92D57">
      <w:pPr>
        <w:pStyle w:val="ListParagraph"/>
        <w:ind w:left="340"/>
        <w:jc w:val="both"/>
        <w:rPr>
          <w:rFonts w:ascii="Calibri" w:hAnsi="Calibri" w:cs="Calibri"/>
          <w:sz w:val="22"/>
          <w:szCs w:val="22"/>
        </w:rPr>
      </w:pPr>
    </w:p>
    <w:p w14:paraId="018C0E15" w14:textId="4D6F2DDA" w:rsidR="002E79A8" w:rsidRPr="00FD38A7" w:rsidRDefault="002E79A8" w:rsidP="00FC22E0">
      <w:pPr>
        <w:jc w:val="both"/>
        <w:rPr>
          <w:b/>
          <w:bCs/>
          <w:sz w:val="22"/>
          <w:szCs w:val="22"/>
        </w:rPr>
      </w:pPr>
      <w:r w:rsidRPr="00FD38A7">
        <w:rPr>
          <w:b/>
          <w:bCs/>
          <w:sz w:val="22"/>
          <w:szCs w:val="22"/>
        </w:rPr>
        <w:t>Papers of interest:</w:t>
      </w:r>
    </w:p>
    <w:p w14:paraId="7C37F84D" w14:textId="77777777" w:rsidR="002E79A8" w:rsidRPr="0007041D" w:rsidRDefault="002E79A8" w:rsidP="00085D23">
      <w:pPr>
        <w:jc w:val="both"/>
        <w:rPr>
          <w:sz w:val="22"/>
          <w:szCs w:val="22"/>
        </w:rPr>
      </w:pPr>
    </w:p>
    <w:p w14:paraId="48C09513" w14:textId="77777777" w:rsidR="00D0011A" w:rsidRPr="00D0011A" w:rsidRDefault="00D0011A" w:rsidP="00085D23">
      <w:pPr>
        <w:pStyle w:val="Bibliography"/>
        <w:spacing w:line="240" w:lineRule="auto"/>
        <w:rPr>
          <w:rFonts w:ascii="Calibri" w:cs="Calibri"/>
          <w:sz w:val="22"/>
        </w:rPr>
      </w:pPr>
      <w:r>
        <w:rPr>
          <w:sz w:val="22"/>
          <w:szCs w:val="22"/>
        </w:rPr>
        <w:fldChar w:fldCharType="begin"/>
      </w:r>
      <w:r>
        <w:rPr>
          <w:sz w:val="22"/>
          <w:szCs w:val="22"/>
        </w:rPr>
        <w:instrText xml:space="preserve"> ADDIN ZOTERO_BIBL {"uncited":[],"omitted":[],"custom":[]} CSL_BIBLIOGRAPHY </w:instrText>
      </w:r>
      <w:r>
        <w:rPr>
          <w:sz w:val="22"/>
          <w:szCs w:val="22"/>
        </w:rPr>
        <w:fldChar w:fldCharType="separate"/>
      </w:r>
      <w:r w:rsidRPr="00D0011A">
        <w:rPr>
          <w:rFonts w:ascii="Calibri" w:cs="Calibri"/>
          <w:sz w:val="22"/>
        </w:rPr>
        <w:t>1.</w:t>
      </w:r>
      <w:r w:rsidRPr="00D0011A">
        <w:rPr>
          <w:rFonts w:ascii="Calibri" w:cs="Calibri"/>
          <w:sz w:val="22"/>
        </w:rPr>
        <w:tab/>
        <w:t xml:space="preserve">Sturm, D. </w:t>
      </w:r>
      <w:r w:rsidRPr="00D0011A">
        <w:rPr>
          <w:rFonts w:ascii="Calibri" w:cs="Calibri"/>
          <w:i/>
          <w:iCs/>
          <w:sz w:val="22"/>
        </w:rPr>
        <w:t>et al.</w:t>
      </w:r>
      <w:r w:rsidRPr="00D0011A">
        <w:rPr>
          <w:rFonts w:ascii="Calibri" w:cs="Calibri"/>
          <w:sz w:val="22"/>
        </w:rPr>
        <w:t xml:space="preserve"> New Brain </w:t>
      </w:r>
      <w:proofErr w:type="spellStart"/>
      <w:r w:rsidRPr="00D0011A">
        <w:rPr>
          <w:rFonts w:ascii="Calibri" w:cs="Calibri"/>
          <w:sz w:val="22"/>
        </w:rPr>
        <w:t>Tumor</w:t>
      </w:r>
      <w:proofErr w:type="spellEnd"/>
      <w:r w:rsidRPr="00D0011A">
        <w:rPr>
          <w:rFonts w:ascii="Calibri" w:cs="Calibri"/>
          <w:sz w:val="22"/>
        </w:rPr>
        <w:t xml:space="preserve"> Entities Emerge from Molecular Classification of CNS-PNETs. </w:t>
      </w:r>
      <w:r w:rsidRPr="00D0011A">
        <w:rPr>
          <w:rFonts w:ascii="Calibri" w:cs="Calibri"/>
          <w:i/>
          <w:iCs/>
          <w:sz w:val="22"/>
        </w:rPr>
        <w:t>Cell</w:t>
      </w:r>
      <w:r w:rsidRPr="00D0011A">
        <w:rPr>
          <w:rFonts w:ascii="Calibri" w:cs="Calibri"/>
          <w:sz w:val="22"/>
        </w:rPr>
        <w:t xml:space="preserve"> </w:t>
      </w:r>
      <w:r w:rsidRPr="00D0011A">
        <w:rPr>
          <w:rFonts w:ascii="Calibri" w:cs="Calibri"/>
          <w:b/>
          <w:bCs/>
          <w:sz w:val="22"/>
        </w:rPr>
        <w:t>164</w:t>
      </w:r>
      <w:r w:rsidRPr="00D0011A">
        <w:rPr>
          <w:rFonts w:ascii="Calibri" w:cs="Calibri"/>
          <w:sz w:val="22"/>
        </w:rPr>
        <w:t>, 1060–1072 (2016).</w:t>
      </w:r>
    </w:p>
    <w:p w14:paraId="1F23C475" w14:textId="77777777" w:rsidR="00D0011A" w:rsidRPr="00D0011A" w:rsidRDefault="00D0011A" w:rsidP="00085D23">
      <w:pPr>
        <w:pStyle w:val="Bibliography"/>
        <w:spacing w:line="240" w:lineRule="auto"/>
        <w:rPr>
          <w:rFonts w:ascii="Calibri" w:cs="Calibri"/>
          <w:sz w:val="22"/>
        </w:rPr>
      </w:pPr>
      <w:r w:rsidRPr="00D0011A">
        <w:rPr>
          <w:rFonts w:ascii="Calibri" w:cs="Calibri"/>
          <w:sz w:val="22"/>
        </w:rPr>
        <w:t>2.</w:t>
      </w:r>
      <w:r w:rsidRPr="00D0011A">
        <w:rPr>
          <w:rFonts w:ascii="Calibri" w:cs="Calibri"/>
          <w:sz w:val="22"/>
        </w:rPr>
        <w:tab/>
      </w:r>
      <w:proofErr w:type="spellStart"/>
      <w:r w:rsidRPr="00D0011A">
        <w:rPr>
          <w:rFonts w:ascii="Calibri" w:cs="Calibri"/>
          <w:sz w:val="22"/>
        </w:rPr>
        <w:t>Cidre-Aranaz</w:t>
      </w:r>
      <w:proofErr w:type="spellEnd"/>
      <w:r w:rsidRPr="00D0011A">
        <w:rPr>
          <w:rFonts w:ascii="Calibri" w:cs="Calibri"/>
          <w:sz w:val="22"/>
        </w:rPr>
        <w:t xml:space="preserve">, F. </w:t>
      </w:r>
      <w:r w:rsidRPr="00D0011A">
        <w:rPr>
          <w:rFonts w:ascii="Calibri" w:cs="Calibri"/>
          <w:i/>
          <w:iCs/>
          <w:sz w:val="22"/>
        </w:rPr>
        <w:t>et al.</w:t>
      </w:r>
      <w:r w:rsidRPr="00D0011A">
        <w:rPr>
          <w:rFonts w:ascii="Calibri" w:cs="Calibri"/>
          <w:sz w:val="22"/>
        </w:rPr>
        <w:t xml:space="preserve"> Small round cell sarcomas. </w:t>
      </w:r>
      <w:r w:rsidRPr="00D0011A">
        <w:rPr>
          <w:rFonts w:ascii="Calibri" w:cs="Calibri"/>
          <w:i/>
          <w:iCs/>
          <w:sz w:val="22"/>
        </w:rPr>
        <w:t>Nat Rev Dis Primers</w:t>
      </w:r>
      <w:r w:rsidRPr="00D0011A">
        <w:rPr>
          <w:rFonts w:ascii="Calibri" w:cs="Calibri"/>
          <w:sz w:val="22"/>
        </w:rPr>
        <w:t xml:space="preserve"> </w:t>
      </w:r>
      <w:r w:rsidRPr="00D0011A">
        <w:rPr>
          <w:rFonts w:ascii="Calibri" w:cs="Calibri"/>
          <w:b/>
          <w:bCs/>
          <w:sz w:val="22"/>
        </w:rPr>
        <w:t>8</w:t>
      </w:r>
      <w:r w:rsidRPr="00D0011A">
        <w:rPr>
          <w:rFonts w:ascii="Calibri" w:cs="Calibri"/>
          <w:sz w:val="22"/>
        </w:rPr>
        <w:t>, 66 (2022).</w:t>
      </w:r>
    </w:p>
    <w:p w14:paraId="3A348C14" w14:textId="77777777" w:rsidR="00D0011A" w:rsidRPr="00D0011A" w:rsidRDefault="00D0011A" w:rsidP="00085D23">
      <w:pPr>
        <w:pStyle w:val="Bibliography"/>
        <w:spacing w:line="240" w:lineRule="auto"/>
        <w:rPr>
          <w:rFonts w:ascii="Calibri" w:cs="Calibri"/>
          <w:sz w:val="22"/>
        </w:rPr>
      </w:pPr>
      <w:r w:rsidRPr="00D0011A">
        <w:rPr>
          <w:rFonts w:ascii="Calibri" w:cs="Calibri"/>
          <w:sz w:val="22"/>
        </w:rPr>
        <w:t>3.</w:t>
      </w:r>
      <w:r w:rsidRPr="00D0011A">
        <w:rPr>
          <w:rFonts w:ascii="Calibri" w:cs="Calibri"/>
          <w:sz w:val="22"/>
        </w:rPr>
        <w:tab/>
        <w:t xml:space="preserve">Ponce, R. K. M., Luck, C. &amp; Okimoto, R. A. Molecular and therapeutic advancements in </w:t>
      </w:r>
      <w:proofErr w:type="spellStart"/>
      <w:r w:rsidRPr="00D0011A">
        <w:rPr>
          <w:rFonts w:ascii="Calibri" w:cs="Calibri"/>
          <w:sz w:val="22"/>
        </w:rPr>
        <w:t>Capicua</w:t>
      </w:r>
      <w:proofErr w:type="spellEnd"/>
      <w:r w:rsidRPr="00D0011A">
        <w:rPr>
          <w:rFonts w:ascii="Calibri" w:cs="Calibri"/>
          <w:sz w:val="22"/>
        </w:rPr>
        <w:t xml:space="preserve"> (CIC)-rearranged sarcoma. </w:t>
      </w:r>
      <w:r w:rsidRPr="00D0011A">
        <w:rPr>
          <w:rFonts w:ascii="Calibri" w:cs="Calibri"/>
          <w:i/>
          <w:iCs/>
          <w:sz w:val="22"/>
        </w:rPr>
        <w:t xml:space="preserve">Front Cell Dev </w:t>
      </w:r>
      <w:proofErr w:type="spellStart"/>
      <w:r w:rsidRPr="00D0011A">
        <w:rPr>
          <w:rFonts w:ascii="Calibri" w:cs="Calibri"/>
          <w:i/>
          <w:iCs/>
          <w:sz w:val="22"/>
        </w:rPr>
        <w:t>Biol</w:t>
      </w:r>
      <w:proofErr w:type="spellEnd"/>
      <w:r w:rsidRPr="00D0011A">
        <w:rPr>
          <w:rFonts w:ascii="Calibri" w:cs="Calibri"/>
          <w:sz w:val="22"/>
        </w:rPr>
        <w:t xml:space="preserve"> </w:t>
      </w:r>
      <w:r w:rsidRPr="00D0011A">
        <w:rPr>
          <w:rFonts w:ascii="Calibri" w:cs="Calibri"/>
          <w:b/>
          <w:bCs/>
          <w:sz w:val="22"/>
        </w:rPr>
        <w:t>12</w:t>
      </w:r>
      <w:r w:rsidRPr="00D0011A">
        <w:rPr>
          <w:rFonts w:ascii="Calibri" w:cs="Calibri"/>
          <w:sz w:val="22"/>
        </w:rPr>
        <w:t>, 1416697 (2024).</w:t>
      </w:r>
    </w:p>
    <w:p w14:paraId="0CEEB15D" w14:textId="77777777" w:rsidR="00D0011A" w:rsidRPr="00D0011A" w:rsidRDefault="00D0011A" w:rsidP="00085D23">
      <w:pPr>
        <w:pStyle w:val="Bibliography"/>
        <w:spacing w:line="240" w:lineRule="auto"/>
        <w:rPr>
          <w:rFonts w:ascii="Calibri" w:cs="Calibri"/>
          <w:sz w:val="22"/>
        </w:rPr>
      </w:pPr>
      <w:r w:rsidRPr="00D0011A">
        <w:rPr>
          <w:rFonts w:ascii="Calibri" w:cs="Calibri"/>
          <w:sz w:val="22"/>
        </w:rPr>
        <w:t>4.</w:t>
      </w:r>
      <w:r w:rsidRPr="00D0011A">
        <w:rPr>
          <w:rFonts w:ascii="Calibri" w:cs="Calibri"/>
          <w:sz w:val="22"/>
        </w:rPr>
        <w:tab/>
        <w:t xml:space="preserve">Sievers, P. </w:t>
      </w:r>
      <w:r w:rsidRPr="00D0011A">
        <w:rPr>
          <w:rFonts w:ascii="Calibri" w:cs="Calibri"/>
          <w:i/>
          <w:iCs/>
          <w:sz w:val="22"/>
        </w:rPr>
        <w:t>et al.</w:t>
      </w:r>
      <w:r w:rsidRPr="00D0011A">
        <w:rPr>
          <w:rFonts w:ascii="Calibri" w:cs="Calibri"/>
          <w:sz w:val="22"/>
        </w:rPr>
        <w:t xml:space="preserve"> </w:t>
      </w:r>
      <w:proofErr w:type="spellStart"/>
      <w:r w:rsidRPr="00D0011A">
        <w:rPr>
          <w:rFonts w:ascii="Calibri" w:cs="Calibri"/>
          <w:sz w:val="22"/>
        </w:rPr>
        <w:t>Pediatric</w:t>
      </w:r>
      <w:proofErr w:type="spellEnd"/>
      <w:r w:rsidRPr="00D0011A">
        <w:rPr>
          <w:rFonts w:ascii="Calibri" w:cs="Calibri"/>
          <w:sz w:val="22"/>
        </w:rPr>
        <w:t xml:space="preserve">-type high-grade neuroepithelial </w:t>
      </w:r>
      <w:proofErr w:type="spellStart"/>
      <w:r w:rsidRPr="00D0011A">
        <w:rPr>
          <w:rFonts w:ascii="Calibri" w:cs="Calibri"/>
          <w:sz w:val="22"/>
        </w:rPr>
        <w:t>tumors</w:t>
      </w:r>
      <w:proofErr w:type="spellEnd"/>
      <w:r w:rsidRPr="00D0011A">
        <w:rPr>
          <w:rFonts w:ascii="Calibri" w:cs="Calibri"/>
          <w:sz w:val="22"/>
        </w:rPr>
        <w:t xml:space="preserve"> with CIC gene fusion share a common DNA methylation signature. </w:t>
      </w:r>
      <w:proofErr w:type="spellStart"/>
      <w:r w:rsidRPr="00D0011A">
        <w:rPr>
          <w:rFonts w:ascii="Calibri" w:cs="Calibri"/>
          <w:i/>
          <w:iCs/>
          <w:sz w:val="22"/>
        </w:rPr>
        <w:t>npj</w:t>
      </w:r>
      <w:proofErr w:type="spellEnd"/>
      <w:r w:rsidRPr="00D0011A">
        <w:rPr>
          <w:rFonts w:ascii="Calibri" w:cs="Calibri"/>
          <w:i/>
          <w:iCs/>
          <w:sz w:val="22"/>
        </w:rPr>
        <w:t xml:space="preserve"> Precis. </w:t>
      </w:r>
      <w:proofErr w:type="spellStart"/>
      <w:r w:rsidRPr="00D0011A">
        <w:rPr>
          <w:rFonts w:ascii="Calibri" w:cs="Calibri"/>
          <w:i/>
          <w:iCs/>
          <w:sz w:val="22"/>
        </w:rPr>
        <w:t>Onc</w:t>
      </w:r>
      <w:proofErr w:type="spellEnd"/>
      <w:r w:rsidRPr="00D0011A">
        <w:rPr>
          <w:rFonts w:ascii="Calibri" w:cs="Calibri"/>
          <w:i/>
          <w:iCs/>
          <w:sz w:val="22"/>
        </w:rPr>
        <w:t>.</w:t>
      </w:r>
      <w:r w:rsidRPr="00D0011A">
        <w:rPr>
          <w:rFonts w:ascii="Calibri" w:cs="Calibri"/>
          <w:sz w:val="22"/>
        </w:rPr>
        <w:t xml:space="preserve"> </w:t>
      </w:r>
      <w:r w:rsidRPr="00D0011A">
        <w:rPr>
          <w:rFonts w:ascii="Calibri" w:cs="Calibri"/>
          <w:b/>
          <w:bCs/>
          <w:sz w:val="22"/>
        </w:rPr>
        <w:t>7</w:t>
      </w:r>
      <w:r w:rsidRPr="00D0011A">
        <w:rPr>
          <w:rFonts w:ascii="Calibri" w:cs="Calibri"/>
          <w:sz w:val="22"/>
        </w:rPr>
        <w:t>, 1–8 (2023).</w:t>
      </w:r>
    </w:p>
    <w:p w14:paraId="3C16E4F3" w14:textId="77777777" w:rsidR="00D0011A" w:rsidRPr="00D0011A" w:rsidRDefault="00D0011A" w:rsidP="00085D23">
      <w:pPr>
        <w:pStyle w:val="Bibliography"/>
        <w:spacing w:line="240" w:lineRule="auto"/>
        <w:rPr>
          <w:rFonts w:ascii="Calibri" w:cs="Calibri"/>
          <w:sz w:val="22"/>
        </w:rPr>
      </w:pPr>
      <w:r w:rsidRPr="00D0011A">
        <w:rPr>
          <w:rFonts w:ascii="Calibri" w:cs="Calibri"/>
          <w:sz w:val="22"/>
        </w:rPr>
        <w:t>5.</w:t>
      </w:r>
      <w:r w:rsidRPr="00D0011A">
        <w:rPr>
          <w:rFonts w:ascii="Calibri" w:cs="Calibri"/>
          <w:sz w:val="22"/>
        </w:rPr>
        <w:tab/>
        <w:t xml:space="preserve">Hou, Y. </w:t>
      </w:r>
      <w:r w:rsidRPr="00D0011A">
        <w:rPr>
          <w:rFonts w:ascii="Calibri" w:cs="Calibri"/>
          <w:i/>
          <w:iCs/>
          <w:sz w:val="22"/>
        </w:rPr>
        <w:t>et al.</w:t>
      </w:r>
      <w:r w:rsidRPr="00D0011A">
        <w:rPr>
          <w:rFonts w:ascii="Calibri" w:cs="Calibri"/>
          <w:sz w:val="22"/>
        </w:rPr>
        <w:t xml:space="preserve"> </w:t>
      </w:r>
      <w:proofErr w:type="spellStart"/>
      <w:r w:rsidRPr="00D0011A">
        <w:rPr>
          <w:rFonts w:ascii="Calibri" w:cs="Calibri"/>
          <w:sz w:val="22"/>
        </w:rPr>
        <w:t>Pediatric</w:t>
      </w:r>
      <w:proofErr w:type="spellEnd"/>
      <w:r w:rsidRPr="00D0011A">
        <w:rPr>
          <w:rFonts w:ascii="Calibri" w:cs="Calibri"/>
          <w:sz w:val="22"/>
        </w:rPr>
        <w:t xml:space="preserve"> central nervous system </w:t>
      </w:r>
      <w:proofErr w:type="spellStart"/>
      <w:r w:rsidRPr="00D0011A">
        <w:rPr>
          <w:rFonts w:ascii="Calibri" w:cs="Calibri"/>
          <w:sz w:val="22"/>
        </w:rPr>
        <w:t>tumor</w:t>
      </w:r>
      <w:proofErr w:type="spellEnd"/>
      <w:r w:rsidRPr="00D0011A">
        <w:rPr>
          <w:rFonts w:ascii="Calibri" w:cs="Calibri"/>
          <w:sz w:val="22"/>
        </w:rPr>
        <w:t xml:space="preserve"> with </w:t>
      </w:r>
      <w:proofErr w:type="gramStart"/>
      <w:r w:rsidRPr="00D0011A">
        <w:rPr>
          <w:rFonts w:ascii="Calibri" w:cs="Calibri"/>
          <w:sz w:val="22"/>
        </w:rPr>
        <w:t>CIC::</w:t>
      </w:r>
      <w:proofErr w:type="gramEnd"/>
      <w:r w:rsidRPr="00D0011A">
        <w:rPr>
          <w:rFonts w:ascii="Calibri" w:cs="Calibri"/>
          <w:sz w:val="22"/>
        </w:rPr>
        <w:t xml:space="preserve">LEUTX fusion: a diagnostic challenge. </w:t>
      </w:r>
      <w:r w:rsidRPr="00D0011A">
        <w:rPr>
          <w:rFonts w:ascii="Calibri" w:cs="Calibri"/>
          <w:i/>
          <w:iCs/>
          <w:sz w:val="22"/>
        </w:rPr>
        <w:t xml:space="preserve">Acta </w:t>
      </w:r>
      <w:proofErr w:type="spellStart"/>
      <w:r w:rsidRPr="00D0011A">
        <w:rPr>
          <w:rFonts w:ascii="Calibri" w:cs="Calibri"/>
          <w:i/>
          <w:iCs/>
          <w:sz w:val="22"/>
        </w:rPr>
        <w:t>Neuropathologica</w:t>
      </w:r>
      <w:proofErr w:type="spellEnd"/>
      <w:r w:rsidRPr="00D0011A">
        <w:rPr>
          <w:rFonts w:ascii="Calibri" w:cs="Calibri"/>
          <w:i/>
          <w:iCs/>
          <w:sz w:val="22"/>
        </w:rPr>
        <w:t xml:space="preserve"> Communications</w:t>
      </w:r>
      <w:r w:rsidRPr="00D0011A">
        <w:rPr>
          <w:rFonts w:ascii="Calibri" w:cs="Calibri"/>
          <w:sz w:val="22"/>
        </w:rPr>
        <w:t xml:space="preserve"> </w:t>
      </w:r>
      <w:r w:rsidRPr="00D0011A">
        <w:rPr>
          <w:rFonts w:ascii="Calibri" w:cs="Calibri"/>
          <w:b/>
          <w:bCs/>
          <w:sz w:val="22"/>
        </w:rPr>
        <w:t>12</w:t>
      </w:r>
      <w:r w:rsidRPr="00D0011A">
        <w:rPr>
          <w:rFonts w:ascii="Calibri" w:cs="Calibri"/>
          <w:sz w:val="22"/>
        </w:rPr>
        <w:t>, 106 (2024).</w:t>
      </w:r>
    </w:p>
    <w:p w14:paraId="5559FF8A" w14:textId="77777777" w:rsidR="00D0011A" w:rsidRPr="00D0011A" w:rsidRDefault="00D0011A" w:rsidP="00085D23">
      <w:pPr>
        <w:pStyle w:val="Bibliography"/>
        <w:spacing w:line="240" w:lineRule="auto"/>
        <w:rPr>
          <w:rFonts w:ascii="Calibri" w:cs="Calibri"/>
          <w:sz w:val="22"/>
        </w:rPr>
      </w:pPr>
      <w:r w:rsidRPr="00D0011A">
        <w:rPr>
          <w:rFonts w:ascii="Calibri" w:cs="Calibri"/>
          <w:sz w:val="22"/>
        </w:rPr>
        <w:t>6.</w:t>
      </w:r>
      <w:r w:rsidRPr="00D0011A">
        <w:rPr>
          <w:rFonts w:ascii="Calibri" w:cs="Calibri"/>
          <w:sz w:val="22"/>
        </w:rPr>
        <w:tab/>
      </w:r>
      <w:proofErr w:type="spellStart"/>
      <w:r w:rsidRPr="00D0011A">
        <w:rPr>
          <w:rFonts w:ascii="Calibri" w:cs="Calibri"/>
          <w:sz w:val="22"/>
        </w:rPr>
        <w:t>Tauziède-Espariat</w:t>
      </w:r>
      <w:proofErr w:type="spellEnd"/>
      <w:r w:rsidRPr="00D0011A">
        <w:rPr>
          <w:rFonts w:ascii="Calibri" w:cs="Calibri"/>
          <w:sz w:val="22"/>
        </w:rPr>
        <w:t xml:space="preserve">, A. </w:t>
      </w:r>
      <w:r w:rsidRPr="00D0011A">
        <w:rPr>
          <w:rFonts w:ascii="Calibri" w:cs="Calibri"/>
          <w:i/>
          <w:iCs/>
          <w:sz w:val="22"/>
        </w:rPr>
        <w:t>et al.</w:t>
      </w:r>
      <w:r w:rsidRPr="00D0011A">
        <w:rPr>
          <w:rFonts w:ascii="Calibri" w:cs="Calibri"/>
          <w:sz w:val="22"/>
        </w:rPr>
        <w:t xml:space="preserve"> CIC/ATXN1-rearranged </w:t>
      </w:r>
      <w:proofErr w:type="spellStart"/>
      <w:r w:rsidRPr="00D0011A">
        <w:rPr>
          <w:rFonts w:ascii="Calibri" w:cs="Calibri"/>
          <w:sz w:val="22"/>
        </w:rPr>
        <w:t>tumors</w:t>
      </w:r>
      <w:proofErr w:type="spellEnd"/>
      <w:r w:rsidRPr="00D0011A">
        <w:rPr>
          <w:rFonts w:ascii="Calibri" w:cs="Calibri"/>
          <w:sz w:val="22"/>
        </w:rPr>
        <w:t xml:space="preserve"> in the central nervous system are mainly represented by sarcomas: A comprehensive clinicopathological and epigenetic series. </w:t>
      </w:r>
      <w:r w:rsidRPr="00D0011A">
        <w:rPr>
          <w:rFonts w:ascii="Calibri" w:cs="Calibri"/>
          <w:i/>
          <w:iCs/>
          <w:sz w:val="22"/>
        </w:rPr>
        <w:t xml:space="preserve">Brain </w:t>
      </w:r>
      <w:proofErr w:type="spellStart"/>
      <w:r w:rsidRPr="00D0011A">
        <w:rPr>
          <w:rFonts w:ascii="Calibri" w:cs="Calibri"/>
          <w:i/>
          <w:iCs/>
          <w:sz w:val="22"/>
        </w:rPr>
        <w:t>Pathol</w:t>
      </w:r>
      <w:proofErr w:type="spellEnd"/>
      <w:r w:rsidRPr="00D0011A">
        <w:rPr>
          <w:rFonts w:ascii="Calibri" w:cs="Calibri"/>
          <w:sz w:val="22"/>
        </w:rPr>
        <w:t xml:space="preserve"> e13303 (2024) doi:10.1111/bpa.13303.</w:t>
      </w:r>
    </w:p>
    <w:p w14:paraId="600E9891" w14:textId="5612A1F2" w:rsidR="00EC0330" w:rsidRPr="0007041D" w:rsidRDefault="00D0011A" w:rsidP="00085D23">
      <w:pPr>
        <w:rPr>
          <w:sz w:val="22"/>
          <w:szCs w:val="22"/>
        </w:rPr>
      </w:pPr>
      <w:r>
        <w:rPr>
          <w:sz w:val="22"/>
          <w:szCs w:val="22"/>
        </w:rPr>
        <w:fldChar w:fldCharType="end"/>
      </w:r>
    </w:p>
    <w:sectPr w:rsidR="00EC0330" w:rsidRPr="0007041D" w:rsidSect="00FD38A7">
      <w:pgSz w:w="11900" w:h="16840"/>
      <w:pgMar w:top="1440" w:right="1440" w:bottom="1440" w:left="1440"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0002A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Symbol">
    <w:panose1 w:val="05050102010706020507"/>
    <w:charset w:val="02"/>
    <w:family w:val="decorative"/>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FranklinGothic-Heavy">
    <w:panose1 w:val="020B0604020202020204"/>
    <w:charset w:val="00"/>
    <w:family w:val="swiss"/>
    <w:pitch w:val="default"/>
    <w:sig w:usb0="00000003" w:usb1="00000000" w:usb2="00000000" w:usb3="00000000" w:csb0="00000001"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0002AFF" w:usb1="C000247B" w:usb2="00000009" w:usb3="00000000" w:csb0="000001FF" w:csb1="00000000"/>
  </w:font>
  <w:font w:name="Yu Mincho">
    <w:panose1 w:val="02020400000000000000"/>
    <w:charset w:val="80"/>
    <w:family w:val="roman"/>
    <w:pitch w:val="variable"/>
    <w:sig w:usb0="800002E7" w:usb1="2AC7FCFF" w:usb2="00000012" w:usb3="00000000" w:csb0="000200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27D724E6"/>
    <w:multiLevelType w:val="hybridMultilevel"/>
    <w:tmpl w:val="CB7E22F2"/>
    <w:lvl w:ilvl="0" w:tplc="5F8E2034">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30113D78"/>
    <w:multiLevelType w:val="multilevel"/>
    <w:tmpl w:val="E286BBF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3DD0154F"/>
    <w:multiLevelType w:val="hybridMultilevel"/>
    <w:tmpl w:val="55840978"/>
    <w:lvl w:ilvl="0" w:tplc="ABBCFD5E">
      <w:start w:val="1"/>
      <w:numFmt w:val="bullet"/>
      <w:lvlText w:val="•"/>
      <w:lvlJc w:val="left"/>
      <w:pPr>
        <w:tabs>
          <w:tab w:val="num" w:pos="720"/>
        </w:tabs>
        <w:ind w:left="720" w:hanging="360"/>
      </w:pPr>
      <w:rPr>
        <w:rFonts w:ascii="Arial" w:hAnsi="Arial" w:hint="default"/>
      </w:rPr>
    </w:lvl>
    <w:lvl w:ilvl="1" w:tplc="BEB6BFBC" w:tentative="1">
      <w:start w:val="1"/>
      <w:numFmt w:val="bullet"/>
      <w:lvlText w:val="•"/>
      <w:lvlJc w:val="left"/>
      <w:pPr>
        <w:tabs>
          <w:tab w:val="num" w:pos="1440"/>
        </w:tabs>
        <w:ind w:left="1440" w:hanging="360"/>
      </w:pPr>
      <w:rPr>
        <w:rFonts w:ascii="Arial" w:hAnsi="Arial" w:hint="default"/>
      </w:rPr>
    </w:lvl>
    <w:lvl w:ilvl="2" w:tplc="05F864D6" w:tentative="1">
      <w:start w:val="1"/>
      <w:numFmt w:val="bullet"/>
      <w:lvlText w:val="•"/>
      <w:lvlJc w:val="left"/>
      <w:pPr>
        <w:tabs>
          <w:tab w:val="num" w:pos="2160"/>
        </w:tabs>
        <w:ind w:left="2160" w:hanging="360"/>
      </w:pPr>
      <w:rPr>
        <w:rFonts w:ascii="Arial" w:hAnsi="Arial" w:hint="default"/>
      </w:rPr>
    </w:lvl>
    <w:lvl w:ilvl="3" w:tplc="D37254F0" w:tentative="1">
      <w:start w:val="1"/>
      <w:numFmt w:val="bullet"/>
      <w:lvlText w:val="•"/>
      <w:lvlJc w:val="left"/>
      <w:pPr>
        <w:tabs>
          <w:tab w:val="num" w:pos="2880"/>
        </w:tabs>
        <w:ind w:left="2880" w:hanging="360"/>
      </w:pPr>
      <w:rPr>
        <w:rFonts w:ascii="Arial" w:hAnsi="Arial" w:hint="default"/>
      </w:rPr>
    </w:lvl>
    <w:lvl w:ilvl="4" w:tplc="FA8C4FBE" w:tentative="1">
      <w:start w:val="1"/>
      <w:numFmt w:val="bullet"/>
      <w:lvlText w:val="•"/>
      <w:lvlJc w:val="left"/>
      <w:pPr>
        <w:tabs>
          <w:tab w:val="num" w:pos="3600"/>
        </w:tabs>
        <w:ind w:left="3600" w:hanging="360"/>
      </w:pPr>
      <w:rPr>
        <w:rFonts w:ascii="Arial" w:hAnsi="Arial" w:hint="default"/>
      </w:rPr>
    </w:lvl>
    <w:lvl w:ilvl="5" w:tplc="86C22336" w:tentative="1">
      <w:start w:val="1"/>
      <w:numFmt w:val="bullet"/>
      <w:lvlText w:val="•"/>
      <w:lvlJc w:val="left"/>
      <w:pPr>
        <w:tabs>
          <w:tab w:val="num" w:pos="4320"/>
        </w:tabs>
        <w:ind w:left="4320" w:hanging="360"/>
      </w:pPr>
      <w:rPr>
        <w:rFonts w:ascii="Arial" w:hAnsi="Arial" w:hint="default"/>
      </w:rPr>
    </w:lvl>
    <w:lvl w:ilvl="6" w:tplc="24B0EFA6" w:tentative="1">
      <w:start w:val="1"/>
      <w:numFmt w:val="bullet"/>
      <w:lvlText w:val="•"/>
      <w:lvlJc w:val="left"/>
      <w:pPr>
        <w:tabs>
          <w:tab w:val="num" w:pos="5040"/>
        </w:tabs>
        <w:ind w:left="5040" w:hanging="360"/>
      </w:pPr>
      <w:rPr>
        <w:rFonts w:ascii="Arial" w:hAnsi="Arial" w:hint="default"/>
      </w:rPr>
    </w:lvl>
    <w:lvl w:ilvl="7" w:tplc="37F88964" w:tentative="1">
      <w:start w:val="1"/>
      <w:numFmt w:val="bullet"/>
      <w:lvlText w:val="•"/>
      <w:lvlJc w:val="left"/>
      <w:pPr>
        <w:tabs>
          <w:tab w:val="num" w:pos="5760"/>
        </w:tabs>
        <w:ind w:left="5760" w:hanging="360"/>
      </w:pPr>
      <w:rPr>
        <w:rFonts w:ascii="Arial" w:hAnsi="Arial" w:hint="default"/>
      </w:rPr>
    </w:lvl>
    <w:lvl w:ilvl="8" w:tplc="67D02E6E" w:tentative="1">
      <w:start w:val="1"/>
      <w:numFmt w:val="bullet"/>
      <w:lvlText w:val="•"/>
      <w:lvlJc w:val="left"/>
      <w:pPr>
        <w:tabs>
          <w:tab w:val="num" w:pos="6480"/>
        </w:tabs>
        <w:ind w:left="6480" w:hanging="360"/>
      </w:pPr>
      <w:rPr>
        <w:rFonts w:ascii="Arial" w:hAnsi="Arial" w:hint="default"/>
      </w:rPr>
    </w:lvl>
  </w:abstractNum>
  <w:abstractNum w:abstractNumId="3" w15:restartNumberingAfterBreak="0">
    <w:nsid w:val="47141BF5"/>
    <w:multiLevelType w:val="hybridMultilevel"/>
    <w:tmpl w:val="FFAABD2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54494913"/>
    <w:multiLevelType w:val="multilevel"/>
    <w:tmpl w:val="3D0448C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77D32039"/>
    <w:multiLevelType w:val="hybridMultilevel"/>
    <w:tmpl w:val="AE7A0BBC"/>
    <w:lvl w:ilvl="0" w:tplc="5F8E2034">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208298223">
    <w:abstractNumId w:val="1"/>
    <w:lvlOverride w:ilvl="0">
      <w:lvl w:ilvl="0">
        <w:numFmt w:val="bullet"/>
        <w:lvlText w:val=""/>
        <w:lvlJc w:val="left"/>
        <w:pPr>
          <w:tabs>
            <w:tab w:val="num" w:pos="720"/>
          </w:tabs>
          <w:ind w:left="720" w:hanging="360"/>
        </w:pPr>
        <w:rPr>
          <w:rFonts w:ascii="Wingdings" w:hAnsi="Wingdings" w:hint="default"/>
          <w:sz w:val="20"/>
        </w:rPr>
      </w:lvl>
    </w:lvlOverride>
  </w:num>
  <w:num w:numId="2" w16cid:durableId="966740537">
    <w:abstractNumId w:val="4"/>
    <w:lvlOverride w:ilvl="0">
      <w:lvl w:ilvl="0">
        <w:numFmt w:val="bullet"/>
        <w:lvlText w:val=""/>
        <w:lvlJc w:val="left"/>
        <w:pPr>
          <w:tabs>
            <w:tab w:val="num" w:pos="720"/>
          </w:tabs>
          <w:ind w:left="720" w:hanging="360"/>
        </w:pPr>
        <w:rPr>
          <w:rFonts w:ascii="Wingdings" w:hAnsi="Wingdings" w:hint="default"/>
          <w:sz w:val="20"/>
        </w:rPr>
      </w:lvl>
    </w:lvlOverride>
  </w:num>
  <w:num w:numId="3" w16cid:durableId="1774008952">
    <w:abstractNumId w:val="2"/>
  </w:num>
  <w:num w:numId="4" w16cid:durableId="808741422">
    <w:abstractNumId w:val="0"/>
  </w:num>
  <w:num w:numId="5" w16cid:durableId="1535848113">
    <w:abstractNumId w:val="5"/>
  </w:num>
  <w:num w:numId="6" w16cid:durableId="887304043">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E79A8"/>
    <w:rsid w:val="00006BCD"/>
    <w:rsid w:val="000142AB"/>
    <w:rsid w:val="00017B08"/>
    <w:rsid w:val="00024713"/>
    <w:rsid w:val="00037790"/>
    <w:rsid w:val="0003779B"/>
    <w:rsid w:val="00044314"/>
    <w:rsid w:val="0004733F"/>
    <w:rsid w:val="00054762"/>
    <w:rsid w:val="00057291"/>
    <w:rsid w:val="00061570"/>
    <w:rsid w:val="0007041D"/>
    <w:rsid w:val="0007166E"/>
    <w:rsid w:val="000764FE"/>
    <w:rsid w:val="000837D6"/>
    <w:rsid w:val="00085D23"/>
    <w:rsid w:val="00097D5E"/>
    <w:rsid w:val="000A0508"/>
    <w:rsid w:val="000B7015"/>
    <w:rsid w:val="000C0D10"/>
    <w:rsid w:val="000C2A3A"/>
    <w:rsid w:val="000D5447"/>
    <w:rsid w:val="001017F0"/>
    <w:rsid w:val="0011005A"/>
    <w:rsid w:val="00112AEF"/>
    <w:rsid w:val="00120842"/>
    <w:rsid w:val="00131A26"/>
    <w:rsid w:val="00133C50"/>
    <w:rsid w:val="00140477"/>
    <w:rsid w:val="00142C15"/>
    <w:rsid w:val="00144D9A"/>
    <w:rsid w:val="001500DF"/>
    <w:rsid w:val="00155234"/>
    <w:rsid w:val="00155545"/>
    <w:rsid w:val="00164D05"/>
    <w:rsid w:val="00181C5B"/>
    <w:rsid w:val="00181EC0"/>
    <w:rsid w:val="00182EED"/>
    <w:rsid w:val="001843D7"/>
    <w:rsid w:val="00184DDB"/>
    <w:rsid w:val="00185C40"/>
    <w:rsid w:val="0018742E"/>
    <w:rsid w:val="00197D4C"/>
    <w:rsid w:val="001A195F"/>
    <w:rsid w:val="001A372D"/>
    <w:rsid w:val="001D0E00"/>
    <w:rsid w:val="001D1422"/>
    <w:rsid w:val="001F70D4"/>
    <w:rsid w:val="001F73A1"/>
    <w:rsid w:val="002035FA"/>
    <w:rsid w:val="00205E88"/>
    <w:rsid w:val="00220491"/>
    <w:rsid w:val="00220AB3"/>
    <w:rsid w:val="00231C97"/>
    <w:rsid w:val="00237C02"/>
    <w:rsid w:val="00242D2E"/>
    <w:rsid w:val="00242FAC"/>
    <w:rsid w:val="00250B7E"/>
    <w:rsid w:val="002623D6"/>
    <w:rsid w:val="00284226"/>
    <w:rsid w:val="00284AB7"/>
    <w:rsid w:val="00295BD2"/>
    <w:rsid w:val="00297BCD"/>
    <w:rsid w:val="002A5367"/>
    <w:rsid w:val="002A7313"/>
    <w:rsid w:val="002C1623"/>
    <w:rsid w:val="002C4AD0"/>
    <w:rsid w:val="002C4ADD"/>
    <w:rsid w:val="002D250E"/>
    <w:rsid w:val="002D3F16"/>
    <w:rsid w:val="002D7EE6"/>
    <w:rsid w:val="002E4B35"/>
    <w:rsid w:val="002E79A8"/>
    <w:rsid w:val="002F4351"/>
    <w:rsid w:val="002F50EF"/>
    <w:rsid w:val="00304FE4"/>
    <w:rsid w:val="003053E7"/>
    <w:rsid w:val="00307421"/>
    <w:rsid w:val="0031122A"/>
    <w:rsid w:val="00317FAD"/>
    <w:rsid w:val="003250B1"/>
    <w:rsid w:val="003274C4"/>
    <w:rsid w:val="00333CCB"/>
    <w:rsid w:val="00340920"/>
    <w:rsid w:val="003424F6"/>
    <w:rsid w:val="0036376E"/>
    <w:rsid w:val="003702BF"/>
    <w:rsid w:val="00390CEF"/>
    <w:rsid w:val="0039164B"/>
    <w:rsid w:val="003919AE"/>
    <w:rsid w:val="00397D77"/>
    <w:rsid w:val="003A10E0"/>
    <w:rsid w:val="003B2569"/>
    <w:rsid w:val="003B7946"/>
    <w:rsid w:val="003C2062"/>
    <w:rsid w:val="003C23D8"/>
    <w:rsid w:val="003C52C7"/>
    <w:rsid w:val="003C6EE1"/>
    <w:rsid w:val="003E7732"/>
    <w:rsid w:val="004021C1"/>
    <w:rsid w:val="00402E33"/>
    <w:rsid w:val="004058D8"/>
    <w:rsid w:val="00416B1A"/>
    <w:rsid w:val="00417637"/>
    <w:rsid w:val="00420011"/>
    <w:rsid w:val="00421643"/>
    <w:rsid w:val="00421FC2"/>
    <w:rsid w:val="00426765"/>
    <w:rsid w:val="00445C1F"/>
    <w:rsid w:val="00446D40"/>
    <w:rsid w:val="00452D3D"/>
    <w:rsid w:val="004555C8"/>
    <w:rsid w:val="00460AB9"/>
    <w:rsid w:val="00465F21"/>
    <w:rsid w:val="00470765"/>
    <w:rsid w:val="004834B3"/>
    <w:rsid w:val="0049433A"/>
    <w:rsid w:val="0049598A"/>
    <w:rsid w:val="004A1214"/>
    <w:rsid w:val="004A33FB"/>
    <w:rsid w:val="004A4170"/>
    <w:rsid w:val="004B1123"/>
    <w:rsid w:val="004B38FE"/>
    <w:rsid w:val="004C20F6"/>
    <w:rsid w:val="004C3377"/>
    <w:rsid w:val="004C69DF"/>
    <w:rsid w:val="004D1AAB"/>
    <w:rsid w:val="004D7F7E"/>
    <w:rsid w:val="004E10DC"/>
    <w:rsid w:val="004E4A29"/>
    <w:rsid w:val="004E7A8B"/>
    <w:rsid w:val="004F067E"/>
    <w:rsid w:val="004F6E90"/>
    <w:rsid w:val="005151E8"/>
    <w:rsid w:val="0052413F"/>
    <w:rsid w:val="00533869"/>
    <w:rsid w:val="005413C2"/>
    <w:rsid w:val="005470D4"/>
    <w:rsid w:val="005519AB"/>
    <w:rsid w:val="00552691"/>
    <w:rsid w:val="00552B0E"/>
    <w:rsid w:val="00552C64"/>
    <w:rsid w:val="00556B8A"/>
    <w:rsid w:val="005601BF"/>
    <w:rsid w:val="00572E62"/>
    <w:rsid w:val="00574478"/>
    <w:rsid w:val="00580B79"/>
    <w:rsid w:val="00580F1C"/>
    <w:rsid w:val="00590BEF"/>
    <w:rsid w:val="005A358A"/>
    <w:rsid w:val="005B2174"/>
    <w:rsid w:val="005B298C"/>
    <w:rsid w:val="005B5315"/>
    <w:rsid w:val="005C1391"/>
    <w:rsid w:val="005C44DC"/>
    <w:rsid w:val="005D42AB"/>
    <w:rsid w:val="005E6340"/>
    <w:rsid w:val="005E6A4B"/>
    <w:rsid w:val="005F3370"/>
    <w:rsid w:val="005F4485"/>
    <w:rsid w:val="00614F1E"/>
    <w:rsid w:val="0061555B"/>
    <w:rsid w:val="00625BAA"/>
    <w:rsid w:val="00631FF1"/>
    <w:rsid w:val="006325D6"/>
    <w:rsid w:val="00645115"/>
    <w:rsid w:val="00647D4A"/>
    <w:rsid w:val="006527AB"/>
    <w:rsid w:val="006644F2"/>
    <w:rsid w:val="0067760A"/>
    <w:rsid w:val="00677C91"/>
    <w:rsid w:val="00687DEB"/>
    <w:rsid w:val="0069141C"/>
    <w:rsid w:val="006A1B96"/>
    <w:rsid w:val="006A688A"/>
    <w:rsid w:val="006C4652"/>
    <w:rsid w:val="006C4A6D"/>
    <w:rsid w:val="006D7718"/>
    <w:rsid w:val="006E7418"/>
    <w:rsid w:val="006F1A4B"/>
    <w:rsid w:val="0070252B"/>
    <w:rsid w:val="00702EF8"/>
    <w:rsid w:val="007213B0"/>
    <w:rsid w:val="00730CFD"/>
    <w:rsid w:val="0074505A"/>
    <w:rsid w:val="00760F13"/>
    <w:rsid w:val="00766A3B"/>
    <w:rsid w:val="00766BA8"/>
    <w:rsid w:val="007674F9"/>
    <w:rsid w:val="00783754"/>
    <w:rsid w:val="0079183B"/>
    <w:rsid w:val="007B02D1"/>
    <w:rsid w:val="007B1387"/>
    <w:rsid w:val="007B3DB6"/>
    <w:rsid w:val="007B63F5"/>
    <w:rsid w:val="007D71C1"/>
    <w:rsid w:val="007E1B8D"/>
    <w:rsid w:val="00806088"/>
    <w:rsid w:val="00806DF9"/>
    <w:rsid w:val="00822544"/>
    <w:rsid w:val="008234BB"/>
    <w:rsid w:val="00830F86"/>
    <w:rsid w:val="00834F66"/>
    <w:rsid w:val="008435D0"/>
    <w:rsid w:val="008446F7"/>
    <w:rsid w:val="00853A5C"/>
    <w:rsid w:val="00863B41"/>
    <w:rsid w:val="00874D1F"/>
    <w:rsid w:val="0088111D"/>
    <w:rsid w:val="00883E01"/>
    <w:rsid w:val="008848C9"/>
    <w:rsid w:val="008A01DD"/>
    <w:rsid w:val="008B1292"/>
    <w:rsid w:val="008B78B8"/>
    <w:rsid w:val="008C7B6F"/>
    <w:rsid w:val="008F05D4"/>
    <w:rsid w:val="00901E8C"/>
    <w:rsid w:val="0090666A"/>
    <w:rsid w:val="009071E8"/>
    <w:rsid w:val="009119F0"/>
    <w:rsid w:val="00912DB0"/>
    <w:rsid w:val="00927A43"/>
    <w:rsid w:val="00937E90"/>
    <w:rsid w:val="009443A5"/>
    <w:rsid w:val="00946893"/>
    <w:rsid w:val="00957354"/>
    <w:rsid w:val="00957F6F"/>
    <w:rsid w:val="009615E1"/>
    <w:rsid w:val="00963F66"/>
    <w:rsid w:val="0097223C"/>
    <w:rsid w:val="00982E94"/>
    <w:rsid w:val="009A1B38"/>
    <w:rsid w:val="009A24A1"/>
    <w:rsid w:val="009A2E79"/>
    <w:rsid w:val="009A4D07"/>
    <w:rsid w:val="009B3608"/>
    <w:rsid w:val="009B64C6"/>
    <w:rsid w:val="009B7603"/>
    <w:rsid w:val="009C173E"/>
    <w:rsid w:val="009C4F5C"/>
    <w:rsid w:val="009D34FD"/>
    <w:rsid w:val="009D6C8E"/>
    <w:rsid w:val="009E4293"/>
    <w:rsid w:val="009E5CAD"/>
    <w:rsid w:val="009E5CBB"/>
    <w:rsid w:val="009F48E8"/>
    <w:rsid w:val="00A15748"/>
    <w:rsid w:val="00A17FA5"/>
    <w:rsid w:val="00A20648"/>
    <w:rsid w:val="00A209D5"/>
    <w:rsid w:val="00A22819"/>
    <w:rsid w:val="00A40DCB"/>
    <w:rsid w:val="00A54AE9"/>
    <w:rsid w:val="00A61817"/>
    <w:rsid w:val="00A669DB"/>
    <w:rsid w:val="00A67A03"/>
    <w:rsid w:val="00A7472C"/>
    <w:rsid w:val="00A842A5"/>
    <w:rsid w:val="00A96B35"/>
    <w:rsid w:val="00AA284E"/>
    <w:rsid w:val="00AC0FF1"/>
    <w:rsid w:val="00AC6F46"/>
    <w:rsid w:val="00AF1361"/>
    <w:rsid w:val="00AF1722"/>
    <w:rsid w:val="00B044A3"/>
    <w:rsid w:val="00B07E5F"/>
    <w:rsid w:val="00B26EB5"/>
    <w:rsid w:val="00B30596"/>
    <w:rsid w:val="00B359A2"/>
    <w:rsid w:val="00B402B9"/>
    <w:rsid w:val="00B60679"/>
    <w:rsid w:val="00B6203A"/>
    <w:rsid w:val="00B6331F"/>
    <w:rsid w:val="00B77342"/>
    <w:rsid w:val="00B777F1"/>
    <w:rsid w:val="00B82291"/>
    <w:rsid w:val="00B83B9D"/>
    <w:rsid w:val="00B86BB9"/>
    <w:rsid w:val="00B92D57"/>
    <w:rsid w:val="00B97CE3"/>
    <w:rsid w:val="00BA0B78"/>
    <w:rsid w:val="00BD5C34"/>
    <w:rsid w:val="00BF0AF2"/>
    <w:rsid w:val="00BF0D1F"/>
    <w:rsid w:val="00BF662F"/>
    <w:rsid w:val="00BF68C4"/>
    <w:rsid w:val="00C032DA"/>
    <w:rsid w:val="00C11429"/>
    <w:rsid w:val="00C12124"/>
    <w:rsid w:val="00C171BF"/>
    <w:rsid w:val="00C25761"/>
    <w:rsid w:val="00C334A6"/>
    <w:rsid w:val="00C449A1"/>
    <w:rsid w:val="00C72052"/>
    <w:rsid w:val="00C77662"/>
    <w:rsid w:val="00C91143"/>
    <w:rsid w:val="00C91D53"/>
    <w:rsid w:val="00C9528A"/>
    <w:rsid w:val="00CB7B52"/>
    <w:rsid w:val="00CC51FC"/>
    <w:rsid w:val="00CC5F43"/>
    <w:rsid w:val="00CF00FC"/>
    <w:rsid w:val="00D0011A"/>
    <w:rsid w:val="00D007A3"/>
    <w:rsid w:val="00D02186"/>
    <w:rsid w:val="00D0491D"/>
    <w:rsid w:val="00D04B90"/>
    <w:rsid w:val="00D12F03"/>
    <w:rsid w:val="00D16F64"/>
    <w:rsid w:val="00D212C2"/>
    <w:rsid w:val="00D25130"/>
    <w:rsid w:val="00D33511"/>
    <w:rsid w:val="00D33778"/>
    <w:rsid w:val="00D33C88"/>
    <w:rsid w:val="00D418EB"/>
    <w:rsid w:val="00D419F8"/>
    <w:rsid w:val="00D434EF"/>
    <w:rsid w:val="00D4618D"/>
    <w:rsid w:val="00D47512"/>
    <w:rsid w:val="00D476A4"/>
    <w:rsid w:val="00D648C5"/>
    <w:rsid w:val="00D66602"/>
    <w:rsid w:val="00D745F5"/>
    <w:rsid w:val="00D7724C"/>
    <w:rsid w:val="00D805BC"/>
    <w:rsid w:val="00D876D7"/>
    <w:rsid w:val="00D90B46"/>
    <w:rsid w:val="00D92DF3"/>
    <w:rsid w:val="00DA0B29"/>
    <w:rsid w:val="00DA574B"/>
    <w:rsid w:val="00DC6DA4"/>
    <w:rsid w:val="00DD4417"/>
    <w:rsid w:val="00DE1EC0"/>
    <w:rsid w:val="00E02046"/>
    <w:rsid w:val="00E0318E"/>
    <w:rsid w:val="00E13311"/>
    <w:rsid w:val="00E14662"/>
    <w:rsid w:val="00E315CF"/>
    <w:rsid w:val="00E3350B"/>
    <w:rsid w:val="00E35883"/>
    <w:rsid w:val="00E405D3"/>
    <w:rsid w:val="00E43BD1"/>
    <w:rsid w:val="00E446E6"/>
    <w:rsid w:val="00E47654"/>
    <w:rsid w:val="00E57CAC"/>
    <w:rsid w:val="00E61982"/>
    <w:rsid w:val="00E66989"/>
    <w:rsid w:val="00E67024"/>
    <w:rsid w:val="00E715A4"/>
    <w:rsid w:val="00E72AB3"/>
    <w:rsid w:val="00E77B54"/>
    <w:rsid w:val="00E81F95"/>
    <w:rsid w:val="00E863C8"/>
    <w:rsid w:val="00EA4096"/>
    <w:rsid w:val="00EA45DE"/>
    <w:rsid w:val="00EA4991"/>
    <w:rsid w:val="00EB5BC6"/>
    <w:rsid w:val="00EC0330"/>
    <w:rsid w:val="00EC1725"/>
    <w:rsid w:val="00EC6142"/>
    <w:rsid w:val="00ED4A7A"/>
    <w:rsid w:val="00EE3389"/>
    <w:rsid w:val="00EE5575"/>
    <w:rsid w:val="00EF0BDF"/>
    <w:rsid w:val="00EF3DD1"/>
    <w:rsid w:val="00EF4062"/>
    <w:rsid w:val="00EF66D0"/>
    <w:rsid w:val="00F01456"/>
    <w:rsid w:val="00F071A1"/>
    <w:rsid w:val="00F17804"/>
    <w:rsid w:val="00F235CE"/>
    <w:rsid w:val="00F24FEF"/>
    <w:rsid w:val="00F31F7D"/>
    <w:rsid w:val="00F34F90"/>
    <w:rsid w:val="00F35F41"/>
    <w:rsid w:val="00F400FB"/>
    <w:rsid w:val="00F40232"/>
    <w:rsid w:val="00F60B06"/>
    <w:rsid w:val="00F61510"/>
    <w:rsid w:val="00F62260"/>
    <w:rsid w:val="00F71313"/>
    <w:rsid w:val="00F74C0D"/>
    <w:rsid w:val="00F917DB"/>
    <w:rsid w:val="00FA3708"/>
    <w:rsid w:val="00FA3E49"/>
    <w:rsid w:val="00FB3BC7"/>
    <w:rsid w:val="00FB6561"/>
    <w:rsid w:val="00FC22E0"/>
    <w:rsid w:val="00FD13B3"/>
    <w:rsid w:val="00FD38A7"/>
    <w:rsid w:val="00FE0A68"/>
    <w:rsid w:val="00FE3A94"/>
    <w:rsid w:val="00FE66D5"/>
    <w:rsid w:val="00FF406A"/>
    <w:rsid w:val="00FF6A33"/>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718790CD"/>
  <w15:docId w15:val="{ECFBB682-DE5D-4929-8315-7A30F096F58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4"/>
        <w:szCs w:val="24"/>
        <w:lang w:val="en-GB"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1 Light" w:uiPriority="46"/>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2E79A8"/>
    <w:rPr>
      <w:color w:val="0563C1" w:themeColor="hyperlink"/>
      <w:u w:val="single"/>
    </w:rPr>
  </w:style>
  <w:style w:type="character" w:customStyle="1" w:styleId="UnresolvedMention1">
    <w:name w:val="Unresolved Mention1"/>
    <w:basedOn w:val="DefaultParagraphFont"/>
    <w:uiPriority w:val="99"/>
    <w:semiHidden/>
    <w:unhideWhenUsed/>
    <w:rsid w:val="002E79A8"/>
    <w:rPr>
      <w:color w:val="605E5C"/>
      <w:shd w:val="clear" w:color="auto" w:fill="E1DFDD"/>
    </w:rPr>
  </w:style>
  <w:style w:type="character" w:styleId="FollowedHyperlink">
    <w:name w:val="FollowedHyperlink"/>
    <w:basedOn w:val="DefaultParagraphFont"/>
    <w:uiPriority w:val="99"/>
    <w:semiHidden/>
    <w:unhideWhenUsed/>
    <w:rsid w:val="004C20F6"/>
    <w:rPr>
      <w:color w:val="954F72" w:themeColor="followedHyperlink"/>
      <w:u w:val="single"/>
    </w:rPr>
  </w:style>
  <w:style w:type="character" w:styleId="CommentReference">
    <w:name w:val="annotation reference"/>
    <w:basedOn w:val="DefaultParagraphFont"/>
    <w:uiPriority w:val="99"/>
    <w:semiHidden/>
    <w:unhideWhenUsed/>
    <w:rsid w:val="00131A26"/>
    <w:rPr>
      <w:sz w:val="16"/>
      <w:szCs w:val="16"/>
    </w:rPr>
  </w:style>
  <w:style w:type="paragraph" w:styleId="CommentText">
    <w:name w:val="annotation text"/>
    <w:basedOn w:val="Normal"/>
    <w:link w:val="CommentTextChar"/>
    <w:uiPriority w:val="99"/>
    <w:semiHidden/>
    <w:unhideWhenUsed/>
    <w:rsid w:val="00131A26"/>
    <w:rPr>
      <w:sz w:val="20"/>
      <w:szCs w:val="20"/>
    </w:rPr>
  </w:style>
  <w:style w:type="character" w:customStyle="1" w:styleId="CommentTextChar">
    <w:name w:val="Comment Text Char"/>
    <w:basedOn w:val="DefaultParagraphFont"/>
    <w:link w:val="CommentText"/>
    <w:uiPriority w:val="99"/>
    <w:semiHidden/>
    <w:rsid w:val="00131A26"/>
    <w:rPr>
      <w:sz w:val="20"/>
      <w:szCs w:val="20"/>
    </w:rPr>
  </w:style>
  <w:style w:type="paragraph" w:styleId="CommentSubject">
    <w:name w:val="annotation subject"/>
    <w:basedOn w:val="CommentText"/>
    <w:next w:val="CommentText"/>
    <w:link w:val="CommentSubjectChar"/>
    <w:uiPriority w:val="99"/>
    <w:semiHidden/>
    <w:unhideWhenUsed/>
    <w:rsid w:val="00131A26"/>
    <w:rPr>
      <w:b/>
      <w:bCs/>
    </w:rPr>
  </w:style>
  <w:style w:type="character" w:customStyle="1" w:styleId="CommentSubjectChar">
    <w:name w:val="Comment Subject Char"/>
    <w:basedOn w:val="CommentTextChar"/>
    <w:link w:val="CommentSubject"/>
    <w:uiPriority w:val="99"/>
    <w:semiHidden/>
    <w:rsid w:val="00131A26"/>
    <w:rPr>
      <w:b/>
      <w:bCs/>
      <w:sz w:val="20"/>
      <w:szCs w:val="20"/>
    </w:rPr>
  </w:style>
  <w:style w:type="paragraph" w:styleId="BalloonText">
    <w:name w:val="Balloon Text"/>
    <w:basedOn w:val="Normal"/>
    <w:link w:val="BalloonTextChar"/>
    <w:uiPriority w:val="99"/>
    <w:semiHidden/>
    <w:unhideWhenUsed/>
    <w:rsid w:val="00131A26"/>
    <w:rPr>
      <w:rFonts w:ascii="Times New Roman" w:hAnsi="Times New Roman" w:cs="Times New Roman"/>
      <w:sz w:val="18"/>
      <w:szCs w:val="18"/>
    </w:rPr>
  </w:style>
  <w:style w:type="character" w:customStyle="1" w:styleId="BalloonTextChar">
    <w:name w:val="Balloon Text Char"/>
    <w:basedOn w:val="DefaultParagraphFont"/>
    <w:link w:val="BalloonText"/>
    <w:uiPriority w:val="99"/>
    <w:semiHidden/>
    <w:rsid w:val="00131A26"/>
    <w:rPr>
      <w:rFonts w:ascii="Times New Roman" w:hAnsi="Times New Roman" w:cs="Times New Roman"/>
      <w:sz w:val="18"/>
      <w:szCs w:val="18"/>
    </w:rPr>
  </w:style>
  <w:style w:type="paragraph" w:customStyle="1" w:styleId="Bodycopy">
    <w:name w:val="Body copy"/>
    <w:basedOn w:val="Normal"/>
    <w:link w:val="BodycopyChar"/>
    <w:qFormat/>
    <w:rsid w:val="005F4485"/>
    <w:pPr>
      <w:widowControl w:val="0"/>
      <w:autoSpaceDE w:val="0"/>
      <w:autoSpaceDN w:val="0"/>
      <w:adjustRightInd w:val="0"/>
      <w:spacing w:after="120"/>
      <w:contextualSpacing/>
    </w:pPr>
    <w:rPr>
      <w:rFonts w:cs="Calibri"/>
    </w:rPr>
  </w:style>
  <w:style w:type="character" w:customStyle="1" w:styleId="BodycopyChar">
    <w:name w:val="Body copy Char"/>
    <w:basedOn w:val="DefaultParagraphFont"/>
    <w:link w:val="Bodycopy"/>
    <w:rsid w:val="005F4485"/>
    <w:rPr>
      <w:rFonts w:cs="Calibri"/>
    </w:rPr>
  </w:style>
  <w:style w:type="table" w:styleId="GridTable1Light">
    <w:name w:val="Grid Table 1 Light"/>
    <w:basedOn w:val="TableNormal"/>
    <w:uiPriority w:val="46"/>
    <w:rsid w:val="005F4485"/>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paragraph" w:styleId="ListParagraph">
    <w:name w:val="List Paragraph"/>
    <w:basedOn w:val="Normal"/>
    <w:uiPriority w:val="34"/>
    <w:qFormat/>
    <w:rsid w:val="00822544"/>
    <w:pPr>
      <w:ind w:left="720"/>
      <w:contextualSpacing/>
    </w:pPr>
  </w:style>
  <w:style w:type="paragraph" w:styleId="Bibliography">
    <w:name w:val="Bibliography"/>
    <w:basedOn w:val="Normal"/>
    <w:next w:val="Normal"/>
    <w:uiPriority w:val="37"/>
    <w:unhideWhenUsed/>
    <w:rsid w:val="00D0011A"/>
    <w:pPr>
      <w:tabs>
        <w:tab w:val="left" w:pos="260"/>
      </w:tabs>
      <w:spacing w:line="480" w:lineRule="auto"/>
      <w:ind w:left="264" w:hanging="264"/>
    </w:pPr>
  </w:style>
  <w:style w:type="character" w:styleId="UnresolvedMention">
    <w:name w:val="Unresolved Mention"/>
    <w:basedOn w:val="DefaultParagraphFont"/>
    <w:uiPriority w:val="99"/>
    <w:semiHidden/>
    <w:unhideWhenUsed/>
    <w:rsid w:val="00EE3389"/>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15975384">
      <w:bodyDiv w:val="1"/>
      <w:marLeft w:val="0"/>
      <w:marRight w:val="0"/>
      <w:marTop w:val="0"/>
      <w:marBottom w:val="0"/>
      <w:divBdr>
        <w:top w:val="none" w:sz="0" w:space="0" w:color="auto"/>
        <w:left w:val="none" w:sz="0" w:space="0" w:color="auto"/>
        <w:bottom w:val="none" w:sz="0" w:space="0" w:color="auto"/>
        <w:right w:val="none" w:sz="0" w:space="0" w:color="auto"/>
      </w:divBdr>
    </w:div>
    <w:div w:id="448091504">
      <w:bodyDiv w:val="1"/>
      <w:marLeft w:val="0"/>
      <w:marRight w:val="0"/>
      <w:marTop w:val="0"/>
      <w:marBottom w:val="0"/>
      <w:divBdr>
        <w:top w:val="none" w:sz="0" w:space="0" w:color="auto"/>
        <w:left w:val="none" w:sz="0" w:space="0" w:color="auto"/>
        <w:bottom w:val="none" w:sz="0" w:space="0" w:color="auto"/>
        <w:right w:val="none" w:sz="0" w:space="0" w:color="auto"/>
      </w:divBdr>
    </w:div>
    <w:div w:id="461000657">
      <w:bodyDiv w:val="1"/>
      <w:marLeft w:val="0"/>
      <w:marRight w:val="0"/>
      <w:marTop w:val="0"/>
      <w:marBottom w:val="0"/>
      <w:divBdr>
        <w:top w:val="none" w:sz="0" w:space="0" w:color="auto"/>
        <w:left w:val="none" w:sz="0" w:space="0" w:color="auto"/>
        <w:bottom w:val="none" w:sz="0" w:space="0" w:color="auto"/>
        <w:right w:val="none" w:sz="0" w:space="0" w:color="auto"/>
      </w:divBdr>
    </w:div>
    <w:div w:id="615675704">
      <w:bodyDiv w:val="1"/>
      <w:marLeft w:val="0"/>
      <w:marRight w:val="0"/>
      <w:marTop w:val="0"/>
      <w:marBottom w:val="0"/>
      <w:divBdr>
        <w:top w:val="none" w:sz="0" w:space="0" w:color="auto"/>
        <w:left w:val="none" w:sz="0" w:space="0" w:color="auto"/>
        <w:bottom w:val="none" w:sz="0" w:space="0" w:color="auto"/>
        <w:right w:val="none" w:sz="0" w:space="0" w:color="auto"/>
      </w:divBdr>
    </w:div>
    <w:div w:id="840851902">
      <w:bodyDiv w:val="1"/>
      <w:marLeft w:val="0"/>
      <w:marRight w:val="0"/>
      <w:marTop w:val="0"/>
      <w:marBottom w:val="0"/>
      <w:divBdr>
        <w:top w:val="none" w:sz="0" w:space="0" w:color="auto"/>
        <w:left w:val="none" w:sz="0" w:space="0" w:color="auto"/>
        <w:bottom w:val="none" w:sz="0" w:space="0" w:color="auto"/>
        <w:right w:val="none" w:sz="0" w:space="0" w:color="auto"/>
      </w:divBdr>
      <w:divsChild>
        <w:div w:id="1085802270">
          <w:marLeft w:val="0"/>
          <w:marRight w:val="0"/>
          <w:marTop w:val="0"/>
          <w:marBottom w:val="0"/>
          <w:divBdr>
            <w:top w:val="none" w:sz="0" w:space="0" w:color="auto"/>
            <w:left w:val="none" w:sz="0" w:space="0" w:color="auto"/>
            <w:bottom w:val="none" w:sz="0" w:space="0" w:color="auto"/>
            <w:right w:val="none" w:sz="0" w:space="0" w:color="auto"/>
          </w:divBdr>
          <w:divsChild>
            <w:div w:id="298417216">
              <w:marLeft w:val="0"/>
              <w:marRight w:val="0"/>
              <w:marTop w:val="0"/>
              <w:marBottom w:val="0"/>
              <w:divBdr>
                <w:top w:val="none" w:sz="0" w:space="0" w:color="auto"/>
                <w:left w:val="none" w:sz="0" w:space="0" w:color="auto"/>
                <w:bottom w:val="none" w:sz="0" w:space="0" w:color="auto"/>
                <w:right w:val="none" w:sz="0" w:space="0" w:color="auto"/>
              </w:divBdr>
              <w:divsChild>
                <w:div w:id="16913692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3209568">
          <w:marLeft w:val="0"/>
          <w:marRight w:val="0"/>
          <w:marTop w:val="0"/>
          <w:marBottom w:val="0"/>
          <w:divBdr>
            <w:top w:val="none" w:sz="0" w:space="0" w:color="auto"/>
            <w:left w:val="none" w:sz="0" w:space="0" w:color="auto"/>
            <w:bottom w:val="none" w:sz="0" w:space="0" w:color="auto"/>
            <w:right w:val="none" w:sz="0" w:space="0" w:color="auto"/>
          </w:divBdr>
        </w:div>
      </w:divsChild>
    </w:div>
    <w:div w:id="1057242411">
      <w:bodyDiv w:val="1"/>
      <w:marLeft w:val="0"/>
      <w:marRight w:val="0"/>
      <w:marTop w:val="0"/>
      <w:marBottom w:val="0"/>
      <w:divBdr>
        <w:top w:val="none" w:sz="0" w:space="0" w:color="auto"/>
        <w:left w:val="none" w:sz="0" w:space="0" w:color="auto"/>
        <w:bottom w:val="none" w:sz="0" w:space="0" w:color="auto"/>
        <w:right w:val="none" w:sz="0" w:space="0" w:color="auto"/>
      </w:divBdr>
    </w:div>
    <w:div w:id="1292132630">
      <w:bodyDiv w:val="1"/>
      <w:marLeft w:val="0"/>
      <w:marRight w:val="0"/>
      <w:marTop w:val="0"/>
      <w:marBottom w:val="0"/>
      <w:divBdr>
        <w:top w:val="none" w:sz="0" w:space="0" w:color="auto"/>
        <w:left w:val="none" w:sz="0" w:space="0" w:color="auto"/>
        <w:bottom w:val="none" w:sz="0" w:space="0" w:color="auto"/>
        <w:right w:val="none" w:sz="0" w:space="0" w:color="auto"/>
      </w:divBdr>
    </w:div>
    <w:div w:id="1425154039">
      <w:bodyDiv w:val="1"/>
      <w:marLeft w:val="0"/>
      <w:marRight w:val="0"/>
      <w:marTop w:val="0"/>
      <w:marBottom w:val="0"/>
      <w:divBdr>
        <w:top w:val="none" w:sz="0" w:space="0" w:color="auto"/>
        <w:left w:val="none" w:sz="0" w:space="0" w:color="auto"/>
        <w:bottom w:val="none" w:sz="0" w:space="0" w:color="auto"/>
        <w:right w:val="none" w:sz="0" w:space="0" w:color="auto"/>
      </w:divBdr>
    </w:div>
    <w:div w:id="1430389528">
      <w:bodyDiv w:val="1"/>
      <w:marLeft w:val="0"/>
      <w:marRight w:val="0"/>
      <w:marTop w:val="0"/>
      <w:marBottom w:val="0"/>
      <w:divBdr>
        <w:top w:val="none" w:sz="0" w:space="0" w:color="auto"/>
        <w:left w:val="none" w:sz="0" w:space="0" w:color="auto"/>
        <w:bottom w:val="none" w:sz="0" w:space="0" w:color="auto"/>
        <w:right w:val="none" w:sz="0" w:space="0" w:color="auto"/>
      </w:divBdr>
      <w:divsChild>
        <w:div w:id="936451235">
          <w:marLeft w:val="446"/>
          <w:marRight w:val="0"/>
          <w:marTop w:val="0"/>
          <w:marBottom w:val="120"/>
          <w:divBdr>
            <w:top w:val="none" w:sz="0" w:space="0" w:color="auto"/>
            <w:left w:val="none" w:sz="0" w:space="0" w:color="auto"/>
            <w:bottom w:val="none" w:sz="0" w:space="0" w:color="auto"/>
            <w:right w:val="none" w:sz="0" w:space="0" w:color="auto"/>
          </w:divBdr>
        </w:div>
        <w:div w:id="1608151364">
          <w:marLeft w:val="446"/>
          <w:marRight w:val="0"/>
          <w:marTop w:val="0"/>
          <w:marBottom w:val="120"/>
          <w:divBdr>
            <w:top w:val="none" w:sz="0" w:space="0" w:color="auto"/>
            <w:left w:val="none" w:sz="0" w:space="0" w:color="auto"/>
            <w:bottom w:val="none" w:sz="0" w:space="0" w:color="auto"/>
            <w:right w:val="none" w:sz="0" w:space="0" w:color="auto"/>
          </w:divBdr>
        </w:div>
        <w:div w:id="483475226">
          <w:marLeft w:val="446"/>
          <w:marRight w:val="0"/>
          <w:marTop w:val="0"/>
          <w:marBottom w:val="120"/>
          <w:divBdr>
            <w:top w:val="none" w:sz="0" w:space="0" w:color="auto"/>
            <w:left w:val="none" w:sz="0" w:space="0" w:color="auto"/>
            <w:bottom w:val="none" w:sz="0" w:space="0" w:color="auto"/>
            <w:right w:val="none" w:sz="0" w:space="0" w:color="auto"/>
          </w:divBdr>
        </w:div>
      </w:divsChild>
    </w:div>
    <w:div w:id="1485975400">
      <w:bodyDiv w:val="1"/>
      <w:marLeft w:val="0"/>
      <w:marRight w:val="0"/>
      <w:marTop w:val="0"/>
      <w:marBottom w:val="0"/>
      <w:divBdr>
        <w:top w:val="none" w:sz="0" w:space="0" w:color="auto"/>
        <w:left w:val="none" w:sz="0" w:space="0" w:color="auto"/>
        <w:bottom w:val="none" w:sz="0" w:space="0" w:color="auto"/>
        <w:right w:val="none" w:sz="0" w:space="0" w:color="auto"/>
      </w:divBdr>
    </w:div>
    <w:div w:id="1578369556">
      <w:bodyDiv w:val="1"/>
      <w:marLeft w:val="0"/>
      <w:marRight w:val="0"/>
      <w:marTop w:val="0"/>
      <w:marBottom w:val="0"/>
      <w:divBdr>
        <w:top w:val="none" w:sz="0" w:space="0" w:color="auto"/>
        <w:left w:val="none" w:sz="0" w:space="0" w:color="auto"/>
        <w:bottom w:val="none" w:sz="0" w:space="0" w:color="auto"/>
        <w:right w:val="none" w:sz="0" w:space="0" w:color="auto"/>
      </w:divBdr>
    </w:div>
    <w:div w:id="2049911352">
      <w:bodyDiv w:val="1"/>
      <w:marLeft w:val="0"/>
      <w:marRight w:val="0"/>
      <w:marTop w:val="0"/>
      <w:marBottom w:val="0"/>
      <w:divBdr>
        <w:top w:val="none" w:sz="0" w:space="0" w:color="auto"/>
        <w:left w:val="none" w:sz="0" w:space="0" w:color="auto"/>
        <w:bottom w:val="none" w:sz="0" w:space="0" w:color="auto"/>
        <w:right w:val="none" w:sz="0" w:space="0" w:color="auto"/>
      </w:divBdr>
    </w:div>
    <w:div w:id="2122872296">
      <w:bodyDiv w:val="1"/>
      <w:marLeft w:val="0"/>
      <w:marRight w:val="0"/>
      <w:marTop w:val="0"/>
      <w:marBottom w:val="0"/>
      <w:divBdr>
        <w:top w:val="none" w:sz="0" w:space="0" w:color="auto"/>
        <w:left w:val="none" w:sz="0" w:space="0" w:color="auto"/>
        <w:bottom w:val="none" w:sz="0" w:space="0" w:color="auto"/>
        <w:right w:val="none" w:sz="0" w:space="0" w:color="auto"/>
      </w:divBdr>
    </w:div>
    <w:div w:id="2125692703">
      <w:bodyDiv w:val="1"/>
      <w:marLeft w:val="0"/>
      <w:marRight w:val="0"/>
      <w:marTop w:val="0"/>
      <w:marBottom w:val="0"/>
      <w:divBdr>
        <w:top w:val="none" w:sz="0" w:space="0" w:color="auto"/>
        <w:left w:val="none" w:sz="0" w:space="0" w:color="auto"/>
        <w:bottom w:val="none" w:sz="0" w:space="0" w:color="auto"/>
        <w:right w:val="none" w:sz="0" w:space="0" w:color="auto"/>
      </w:divBdr>
    </w:div>
    <w:div w:id="21258046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emf"/><Relationship Id="rId13" Type="http://schemas.openxmlformats.org/officeDocument/2006/relationships/customXml" Target="../customXml/item3.xml"/><Relationship Id="rId3" Type="http://schemas.openxmlformats.org/officeDocument/2006/relationships/settings" Target="settings.xml"/><Relationship Id="rId7" Type="http://schemas.openxmlformats.org/officeDocument/2006/relationships/hyperlink" Target="https://institute-genetics-cancer.ed.ac.uk/research/research-groups-a-z/hannah-long-research-group" TargetMode="External"/><Relationship Id="rId12" Type="http://schemas.openxmlformats.org/officeDocument/2006/relationships/customXml" Target="../customXml/item2.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institute-genetics-cancer.ed.ac.uk/research/research-groups-a-z/nezha-benabdallah-group" TargetMode="External"/><Relationship Id="rId11" Type="http://schemas.openxmlformats.org/officeDocument/2006/relationships/customXml" Target="../customXml/item1.xml"/><Relationship Id="rId5" Type="http://schemas.openxmlformats.org/officeDocument/2006/relationships/image" Target="media/image1.jpeg"/><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1A2A2CF7A769F2468233866FC41FFE9C" ma:contentTypeVersion="6" ma:contentTypeDescription="Create a new document." ma:contentTypeScope="" ma:versionID="71ef2673134ae278ec2cfabb4f745151">
  <xsd:schema xmlns:xsd="http://www.w3.org/2001/XMLSchema" xmlns:xs="http://www.w3.org/2001/XMLSchema" xmlns:p="http://schemas.microsoft.com/office/2006/metadata/properties" xmlns:ns2="1a0ba6c3-9c88-409f-a6c3-d7b30f0128f9" xmlns:ns3="2cc0b2b8-54f9-42b4-99e3-fe5849fa8056" targetNamespace="http://schemas.microsoft.com/office/2006/metadata/properties" ma:root="true" ma:fieldsID="b9ff581f5ffcd248d57e1857da5aed29" ns2:_="" ns3:_="">
    <xsd:import namespace="1a0ba6c3-9c88-409f-a6c3-d7b30f0128f9"/>
    <xsd:import namespace="2cc0b2b8-54f9-42b4-99e3-fe5849fa8056"/>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a0ba6c3-9c88-409f-a6c3-d7b30f0128f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2cc0b2b8-54f9-42b4-99e3-fe5849fa8056"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7A9483C1-D310-4866-B0E9-6FEA31F35DD9}"/>
</file>

<file path=customXml/itemProps2.xml><?xml version="1.0" encoding="utf-8"?>
<ds:datastoreItem xmlns:ds="http://schemas.openxmlformats.org/officeDocument/2006/customXml" ds:itemID="{8563547D-CAB3-4826-96F5-B2A4B6993C46}"/>
</file>

<file path=customXml/itemProps3.xml><?xml version="1.0" encoding="utf-8"?>
<ds:datastoreItem xmlns:ds="http://schemas.openxmlformats.org/officeDocument/2006/customXml" ds:itemID="{C17BF379-928A-43F7-92FD-A957A367CD9B}"/>
</file>

<file path=docProps/app.xml><?xml version="1.0" encoding="utf-8"?>
<Properties xmlns="http://schemas.openxmlformats.org/officeDocument/2006/extended-properties" xmlns:vt="http://schemas.openxmlformats.org/officeDocument/2006/docPropsVTypes">
  <Template>Normal.dotm</Template>
  <TotalTime>274</TotalTime>
  <Pages>2</Pages>
  <Words>3555</Words>
  <Characters>20267</Characters>
  <Application>Microsoft Office Word</Application>
  <DocSecurity>0</DocSecurity>
  <Lines>168</Lines>
  <Paragraphs>47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23775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David Bryant</dc:creator>
  <cp:keywords/>
  <dc:description/>
  <cp:lastModifiedBy>Nezha Benabdallah</cp:lastModifiedBy>
  <cp:revision>100</cp:revision>
  <dcterms:created xsi:type="dcterms:W3CDTF">2025-02-04T08:45:00Z</dcterms:created>
  <dcterms:modified xsi:type="dcterms:W3CDTF">2025-02-26T23:27:00Z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zotero-version="6.0.37"&gt;&lt;session id="K8w0fSPT"/&gt;&lt;style id="http://www.zotero.org/styles/nature" hasBibliography="1" bibliographyStyleHasBeenSet="1"/&gt;&lt;prefs&gt;&lt;pref name="fieldType" value="Field"/&gt;&lt;/prefs&gt;&lt;/data&gt;</vt:lpwstr>
  </property>
  <property fmtid="{D5CDD505-2E9C-101B-9397-08002B2CF9AE}" pid="3" name="ContentTypeId">
    <vt:lpwstr>0x0101001A2A2CF7A769F2468233866FC41FFE9C</vt:lpwstr>
  </property>
</Properties>
</file>