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eastAsia="en-GB"/>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73A83BDD" w14:textId="77777777" w:rsidR="00AD1310" w:rsidRDefault="00AD1310" w:rsidP="00FC22E0">
      <w:pPr>
        <w:jc w:val="both"/>
        <w:rPr>
          <w:b/>
          <w:bCs/>
          <w:sz w:val="22"/>
          <w:szCs w:val="22"/>
        </w:rPr>
      </w:pPr>
    </w:p>
    <w:p w14:paraId="59675843" w14:textId="77777777" w:rsidR="00AD1310" w:rsidRDefault="00AD1310" w:rsidP="00FC22E0">
      <w:pPr>
        <w:jc w:val="both"/>
        <w:rPr>
          <w:b/>
          <w:bCs/>
          <w:sz w:val="22"/>
          <w:szCs w:val="22"/>
        </w:rPr>
      </w:pPr>
    </w:p>
    <w:p w14:paraId="539660D6" w14:textId="77777777" w:rsidR="00AD1310" w:rsidRDefault="00AD1310" w:rsidP="00FC22E0">
      <w:pPr>
        <w:jc w:val="both"/>
        <w:rPr>
          <w:b/>
          <w:bCs/>
          <w:sz w:val="22"/>
          <w:szCs w:val="22"/>
        </w:rPr>
      </w:pPr>
    </w:p>
    <w:p w14:paraId="0B4B82A5" w14:textId="254B44AD" w:rsidR="003B7946" w:rsidRPr="003B7946" w:rsidRDefault="003B7946" w:rsidP="00FC22E0">
      <w:pPr>
        <w:jc w:val="both"/>
        <w:rPr>
          <w:b/>
          <w:bCs/>
          <w:sz w:val="22"/>
          <w:szCs w:val="22"/>
        </w:rPr>
      </w:pPr>
      <w:r w:rsidRPr="003B7946">
        <w:rPr>
          <w:b/>
          <w:bCs/>
          <w:sz w:val="22"/>
          <w:szCs w:val="22"/>
        </w:rPr>
        <w:t>TRACC MB-PhD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7C747943" w14:textId="280ED130" w:rsidR="004555C8" w:rsidRPr="004555C8" w:rsidRDefault="00F071A1" w:rsidP="003B7946">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Edinburgh</w:t>
      </w:r>
      <w:r w:rsidR="004B0CE7" w:rsidRPr="004B0CE7">
        <w:rPr>
          <w:rFonts w:ascii="Calibri" w:eastAsia="Times New Roman" w:hAnsi="Calibri" w:cs="FranklinGothic-Heavy"/>
          <w:sz w:val="22"/>
          <w:szCs w:val="22"/>
          <w:lang w:eastAsia="en-GB"/>
        </w:rPr>
        <w:t>/Glasgow</w:t>
      </w:r>
      <w:r w:rsidR="003B7946" w:rsidRPr="003B7946">
        <w:rPr>
          <w:rFonts w:ascii="Calibri" w:eastAsia="Times New Roman" w:hAnsi="Calibri" w:cs="FranklinGothic-Heavy"/>
          <w:sz w:val="22"/>
          <w:szCs w:val="22"/>
          <w:lang w:eastAsia="en-GB"/>
        </w:rPr>
        <w:t xml:space="preserve">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p>
    <w:p w14:paraId="40E4BB52" w14:textId="77777777" w:rsidR="00F071A1" w:rsidRPr="003B7946" w:rsidRDefault="00F071A1" w:rsidP="00FC22E0">
      <w:pPr>
        <w:jc w:val="both"/>
        <w:rPr>
          <w:b/>
          <w:bCs/>
          <w:sz w:val="22"/>
          <w:szCs w:val="22"/>
        </w:rPr>
      </w:pPr>
    </w:p>
    <w:p w14:paraId="3A8D03D4" w14:textId="6CD50C41" w:rsidR="00B402B9" w:rsidRPr="003B7946" w:rsidRDefault="004555C8" w:rsidP="00FC22E0">
      <w:pPr>
        <w:jc w:val="both"/>
        <w:rPr>
          <w:bCs/>
          <w:sz w:val="22"/>
          <w:szCs w:val="22"/>
        </w:rPr>
      </w:pPr>
      <w:r>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4ED8B51B" w:rsidR="00C91D53" w:rsidRDefault="00B402B9" w:rsidP="00FC22E0">
      <w:pPr>
        <w:jc w:val="both"/>
        <w:rPr>
          <w:b/>
          <w:bCs/>
          <w:sz w:val="22"/>
          <w:szCs w:val="22"/>
        </w:rPr>
      </w:pPr>
      <w:r>
        <w:rPr>
          <w:b/>
          <w:bCs/>
          <w:sz w:val="22"/>
          <w:szCs w:val="22"/>
        </w:rPr>
        <w:t xml:space="preserve"> </w:t>
      </w:r>
    </w:p>
    <w:p w14:paraId="702183E5" w14:textId="322E31F4" w:rsidR="00A40DCB" w:rsidRPr="00FD38A7"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p>
    <w:p w14:paraId="34E90182" w14:textId="3140973A" w:rsidR="00FD38A7" w:rsidRPr="00B2655A" w:rsidRDefault="00B2655A" w:rsidP="00FC22E0">
      <w:pPr>
        <w:jc w:val="both"/>
        <w:rPr>
          <w:bCs/>
          <w:sz w:val="22"/>
          <w:szCs w:val="22"/>
        </w:rPr>
      </w:pPr>
      <w:r w:rsidRPr="00B2655A">
        <w:rPr>
          <w:bCs/>
          <w:sz w:val="22"/>
          <w:szCs w:val="22"/>
        </w:rPr>
        <w:t xml:space="preserve">Understanding the </w:t>
      </w:r>
      <w:r w:rsidR="00594563">
        <w:rPr>
          <w:bCs/>
          <w:sz w:val="22"/>
          <w:szCs w:val="22"/>
        </w:rPr>
        <w:t xml:space="preserve">phenotypic </w:t>
      </w:r>
      <w:r w:rsidRPr="00B2655A">
        <w:rPr>
          <w:bCs/>
          <w:sz w:val="22"/>
          <w:szCs w:val="22"/>
        </w:rPr>
        <w:t>transition</w:t>
      </w:r>
      <w:r w:rsidR="00594563">
        <w:rPr>
          <w:bCs/>
          <w:sz w:val="22"/>
          <w:szCs w:val="22"/>
        </w:rPr>
        <w:t>s</w:t>
      </w:r>
      <w:r w:rsidRPr="00B2655A">
        <w:rPr>
          <w:bCs/>
          <w:sz w:val="22"/>
          <w:szCs w:val="22"/>
        </w:rPr>
        <w:t xml:space="preserve"> between normal and regenerative cells in inflammatory bowel disease and colorectal cancer</w:t>
      </w:r>
    </w:p>
    <w:p w14:paraId="76C1DCB8" w14:textId="77777777" w:rsidR="00B2655A" w:rsidRPr="00FD38A7" w:rsidRDefault="00B2655A"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6758919" w14:textId="7DEBD06E" w:rsidR="002E79A8" w:rsidRDefault="00B2655A" w:rsidP="00FC22E0">
      <w:pPr>
        <w:jc w:val="both"/>
        <w:rPr>
          <w:sz w:val="22"/>
          <w:szCs w:val="22"/>
        </w:rPr>
      </w:pPr>
      <w:r>
        <w:rPr>
          <w:sz w:val="22"/>
          <w:szCs w:val="22"/>
        </w:rPr>
        <w:t>Dr Kevin Myant</w:t>
      </w:r>
    </w:p>
    <w:p w14:paraId="5AA80E2F" w14:textId="5C043965" w:rsidR="00B2655A" w:rsidRDefault="00B2655A" w:rsidP="00FC22E0">
      <w:pPr>
        <w:jc w:val="both"/>
        <w:rPr>
          <w:sz w:val="22"/>
          <w:szCs w:val="22"/>
        </w:rPr>
      </w:pPr>
      <w:r>
        <w:rPr>
          <w:sz w:val="22"/>
          <w:szCs w:val="22"/>
        </w:rPr>
        <w:t>Prof Mark Arends</w:t>
      </w: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1DB5F6B9" w14:textId="30781125" w:rsidR="00A40DCB" w:rsidRDefault="00725CC7" w:rsidP="00FC22E0">
      <w:pPr>
        <w:jc w:val="both"/>
        <w:rPr>
          <w:sz w:val="22"/>
          <w:szCs w:val="22"/>
        </w:rPr>
      </w:pPr>
      <w:hyperlink r:id="rId6" w:history="1">
        <w:r w:rsidR="00B2655A" w:rsidRPr="009E2C0A">
          <w:rPr>
            <w:rStyle w:val="Hyperlink"/>
            <w:sz w:val="22"/>
            <w:szCs w:val="22"/>
          </w:rPr>
          <w:t>https://www.ed.ac.uk/cancer-centre/research/myant-group</w:t>
        </w:r>
      </w:hyperlink>
    </w:p>
    <w:p w14:paraId="0F5507CB" w14:textId="2AC908B8" w:rsidR="00FD38A7" w:rsidRDefault="00725CC7" w:rsidP="00FC22E0">
      <w:pPr>
        <w:jc w:val="both"/>
        <w:rPr>
          <w:rStyle w:val="Hyperlink"/>
          <w:sz w:val="22"/>
          <w:szCs w:val="22"/>
        </w:rPr>
      </w:pPr>
      <w:hyperlink r:id="rId7" w:history="1">
        <w:r w:rsidR="00B2655A" w:rsidRPr="009E2C0A">
          <w:rPr>
            <w:rStyle w:val="Hyperlink"/>
            <w:sz w:val="22"/>
            <w:szCs w:val="22"/>
          </w:rPr>
          <w:t>https://www.ed.ac.uk/cancer-centre/research/arends-group</w:t>
        </w:r>
      </w:hyperlink>
    </w:p>
    <w:p w14:paraId="61EE2F70" w14:textId="77777777" w:rsidR="00B2655A" w:rsidRPr="00FD38A7" w:rsidRDefault="00B2655A"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288D0CAB" w14:textId="36266E9A" w:rsidR="00D40C06" w:rsidRPr="00BD1DE7" w:rsidRDefault="00BD1DE7" w:rsidP="00BD1DE7">
      <w:pPr>
        <w:jc w:val="both"/>
        <w:rPr>
          <w:sz w:val="22"/>
          <w:szCs w:val="22"/>
        </w:rPr>
      </w:pPr>
      <w:r w:rsidRPr="00BD1DE7">
        <w:rPr>
          <w:sz w:val="22"/>
          <w:szCs w:val="22"/>
        </w:rPr>
        <w:t>Inflammatory bowel disease (IBD) is a known risk factor for the development of colorectal cancer (CRC). However, how chronic inflammation leads to cancer development is poorly understood. Repeated damage of the colonic epithelium leads to a regenerative phenotype where colonic cells acquire a transcriptional programme similar to that found in the foetal colon. This transcriptional programme is also found in IBD-CRC indicating that reprogramming of the colonic epithelium into a regenerative, foetal-like, state may drive IBD-CRC development. Based on previous work in our lab we hypothesise that a failure to resolve intestinal regeneration, in combination with oncogenic mutations, leads to the development of IBD-CRC</w:t>
      </w:r>
      <w:r w:rsidR="00D40C06">
        <w:rPr>
          <w:sz w:val="22"/>
          <w:szCs w:val="22"/>
        </w:rPr>
        <w:t xml:space="preserve"> (Figure 1)</w:t>
      </w:r>
      <w:r w:rsidRPr="00BD1DE7">
        <w:rPr>
          <w:sz w:val="22"/>
          <w:szCs w:val="22"/>
        </w:rPr>
        <w:t>.</w:t>
      </w:r>
    </w:p>
    <w:p w14:paraId="7AB96C26" w14:textId="77777777" w:rsidR="00BD1DE7" w:rsidRPr="00BD1DE7" w:rsidRDefault="00BD1DE7" w:rsidP="00BD1DE7">
      <w:pPr>
        <w:jc w:val="both"/>
        <w:rPr>
          <w:sz w:val="22"/>
          <w:szCs w:val="22"/>
        </w:rPr>
      </w:pPr>
    </w:p>
    <w:p w14:paraId="1B9C0FAB" w14:textId="3676E5EA" w:rsidR="00FD38A7" w:rsidRDefault="00BD1DE7" w:rsidP="00BD1DE7">
      <w:pPr>
        <w:jc w:val="both"/>
        <w:rPr>
          <w:sz w:val="22"/>
          <w:szCs w:val="22"/>
        </w:rPr>
      </w:pPr>
      <w:r w:rsidRPr="00BD1DE7">
        <w:rPr>
          <w:sz w:val="22"/>
          <w:szCs w:val="22"/>
        </w:rPr>
        <w:t>The aim of this project is to investigate the mechanisms that regulate colonic regeneration and cancer development. In particular, we will focus on the cellular transition states during the initiation, maintenance and resolution of repair and how the presence of oncogenic mutations impact on these processes.</w:t>
      </w:r>
    </w:p>
    <w:p w14:paraId="4D11D668" w14:textId="77777777" w:rsid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2133B139" w14:textId="3E5AD995" w:rsidR="00A40DCB" w:rsidRPr="00E812C9" w:rsidRDefault="00BD1DE7" w:rsidP="00FC22E0">
      <w:pPr>
        <w:jc w:val="both"/>
        <w:rPr>
          <w:sz w:val="22"/>
          <w:szCs w:val="22"/>
        </w:rPr>
      </w:pPr>
      <w:r>
        <w:rPr>
          <w:sz w:val="22"/>
          <w:szCs w:val="22"/>
        </w:rPr>
        <w:t xml:space="preserve">The </w:t>
      </w:r>
      <w:r w:rsidRPr="00E812C9">
        <w:rPr>
          <w:sz w:val="22"/>
          <w:szCs w:val="22"/>
        </w:rPr>
        <w:t>associat</w:t>
      </w:r>
      <w:r w:rsidR="002213B6" w:rsidRPr="00E812C9">
        <w:rPr>
          <w:sz w:val="22"/>
          <w:szCs w:val="22"/>
        </w:rPr>
        <w:t>ion</w:t>
      </w:r>
      <w:r w:rsidRPr="00E812C9">
        <w:rPr>
          <w:sz w:val="22"/>
          <w:szCs w:val="22"/>
        </w:rPr>
        <w:t xml:space="preserve"> of</w:t>
      </w:r>
      <w:r w:rsidR="002213B6" w:rsidRPr="00E812C9">
        <w:rPr>
          <w:sz w:val="22"/>
          <w:szCs w:val="22"/>
        </w:rPr>
        <w:t xml:space="preserve"> chronic relapsing</w:t>
      </w:r>
      <w:r w:rsidRPr="00E812C9">
        <w:rPr>
          <w:sz w:val="22"/>
          <w:szCs w:val="22"/>
        </w:rPr>
        <w:t xml:space="preserve"> inflammation</w:t>
      </w:r>
      <w:r w:rsidR="002213B6" w:rsidRPr="00E812C9">
        <w:rPr>
          <w:sz w:val="22"/>
          <w:szCs w:val="22"/>
        </w:rPr>
        <w:t>, typical of inflammatory bowel disease,</w:t>
      </w:r>
      <w:r w:rsidRPr="00E812C9">
        <w:rPr>
          <w:sz w:val="22"/>
          <w:szCs w:val="22"/>
        </w:rPr>
        <w:t xml:space="preserve"> with the development of cancer is well established, but the mechanisms underlying this process are not clear. We hypothesise that one mechanism by which</w:t>
      </w:r>
      <w:r w:rsidR="002213B6" w:rsidRPr="00E812C9">
        <w:rPr>
          <w:sz w:val="22"/>
          <w:szCs w:val="22"/>
        </w:rPr>
        <w:t xml:space="preserve"> such</w:t>
      </w:r>
      <w:r w:rsidRPr="00E812C9">
        <w:rPr>
          <w:sz w:val="22"/>
          <w:szCs w:val="22"/>
        </w:rPr>
        <w:t xml:space="preserve"> inflammation can promote colorectal tumourigenesis is via</w:t>
      </w:r>
      <w:r w:rsidR="00A47116">
        <w:rPr>
          <w:sz w:val="22"/>
          <w:szCs w:val="22"/>
        </w:rPr>
        <w:t xml:space="preserve"> epigenetic reprogramming of the epithelium into a</w:t>
      </w:r>
      <w:r w:rsidRPr="00E812C9">
        <w:rPr>
          <w:sz w:val="22"/>
          <w:szCs w:val="22"/>
        </w:rPr>
        <w:t xml:space="preserve"> permanent, regenerative-like cellular phenotype. If correct, developing a better understanding of this process could lead to the </w:t>
      </w:r>
      <w:r w:rsidRPr="00E812C9">
        <w:rPr>
          <w:sz w:val="22"/>
          <w:szCs w:val="22"/>
        </w:rPr>
        <w:lastRenderedPageBreak/>
        <w:t>development of novel therapeutic strategies to target this disease</w:t>
      </w:r>
      <w:r w:rsidR="00A47116">
        <w:rPr>
          <w:sz w:val="22"/>
          <w:szCs w:val="22"/>
        </w:rPr>
        <w:t xml:space="preserve">, develop biomarkers </w:t>
      </w:r>
      <w:r w:rsidR="00725CC7">
        <w:rPr>
          <w:sz w:val="22"/>
          <w:szCs w:val="22"/>
        </w:rPr>
        <w:t>for</w:t>
      </w:r>
      <w:r w:rsidR="00A47116">
        <w:rPr>
          <w:sz w:val="22"/>
          <w:szCs w:val="22"/>
        </w:rPr>
        <w:t xml:space="preserve"> IBD patients at high risk of developing cancer and give broader insights into</w:t>
      </w:r>
      <w:r w:rsidRPr="00E812C9">
        <w:rPr>
          <w:sz w:val="22"/>
          <w:szCs w:val="22"/>
        </w:rPr>
        <w:t xml:space="preserve"> inflammation-associated cancers more generally.</w:t>
      </w:r>
    </w:p>
    <w:p w14:paraId="6C469BD9" w14:textId="4CEE24C8" w:rsidR="00FD38A7" w:rsidRPr="00E812C9" w:rsidRDefault="00FD38A7" w:rsidP="00FC22E0">
      <w:pPr>
        <w:jc w:val="both"/>
        <w:rPr>
          <w:sz w:val="22"/>
          <w:szCs w:val="22"/>
        </w:rPr>
      </w:pPr>
    </w:p>
    <w:p w14:paraId="2F33498C" w14:textId="636487AF" w:rsidR="002E79A8" w:rsidRPr="00E812C9" w:rsidRDefault="00A40DCB" w:rsidP="00FC22E0">
      <w:pPr>
        <w:jc w:val="both"/>
        <w:rPr>
          <w:b/>
          <w:bCs/>
          <w:sz w:val="22"/>
          <w:szCs w:val="22"/>
        </w:rPr>
      </w:pPr>
      <w:r w:rsidRPr="00E812C9">
        <w:rPr>
          <w:b/>
          <w:bCs/>
          <w:sz w:val="22"/>
          <w:szCs w:val="22"/>
        </w:rPr>
        <w:t>Techniques/model systems</w:t>
      </w:r>
      <w:r w:rsidR="00B402B9" w:rsidRPr="00E812C9">
        <w:rPr>
          <w:b/>
          <w:bCs/>
          <w:sz w:val="22"/>
          <w:szCs w:val="22"/>
        </w:rPr>
        <w:t xml:space="preserve"> to be used</w:t>
      </w:r>
      <w:r w:rsidRPr="00E812C9">
        <w:rPr>
          <w:b/>
          <w:bCs/>
          <w:sz w:val="22"/>
          <w:szCs w:val="22"/>
        </w:rPr>
        <w:t>:</w:t>
      </w:r>
      <w:r w:rsidR="002623D6" w:rsidRPr="00E812C9">
        <w:rPr>
          <w:b/>
          <w:bCs/>
          <w:sz w:val="22"/>
          <w:szCs w:val="22"/>
        </w:rPr>
        <w:t xml:space="preserve"> </w:t>
      </w:r>
      <w:r w:rsidR="002623D6" w:rsidRPr="00E812C9">
        <w:rPr>
          <w:b/>
          <w:bCs/>
          <w:sz w:val="22"/>
          <w:szCs w:val="22"/>
        </w:rPr>
        <w:tab/>
      </w:r>
    </w:p>
    <w:p w14:paraId="5D17DBC7" w14:textId="5665DDD5" w:rsidR="00A47116" w:rsidRDefault="00BD1DE7" w:rsidP="00FC22E0">
      <w:pPr>
        <w:jc w:val="both"/>
        <w:rPr>
          <w:sz w:val="22"/>
          <w:szCs w:val="22"/>
        </w:rPr>
      </w:pPr>
      <w:r w:rsidRPr="00E812C9">
        <w:rPr>
          <w:sz w:val="22"/>
          <w:szCs w:val="22"/>
        </w:rPr>
        <w:t xml:space="preserve">We have recently developed a new </w:t>
      </w:r>
      <w:r w:rsidR="002213B6" w:rsidRPr="00E812C9">
        <w:rPr>
          <w:sz w:val="22"/>
          <w:szCs w:val="22"/>
        </w:rPr>
        <w:t xml:space="preserve">DSS-treated conditional </w:t>
      </w:r>
      <w:r w:rsidR="002213B6" w:rsidRPr="00E812C9">
        <w:rPr>
          <w:i/>
          <w:iCs/>
          <w:sz w:val="22"/>
          <w:szCs w:val="22"/>
        </w:rPr>
        <w:t>Tp53</w:t>
      </w:r>
      <w:r w:rsidR="002213B6" w:rsidRPr="00E812C9">
        <w:rPr>
          <w:sz w:val="22"/>
          <w:szCs w:val="22"/>
        </w:rPr>
        <w:t xml:space="preserve"> knockout-based </w:t>
      </w:r>
      <w:r w:rsidRPr="00E812C9">
        <w:rPr>
          <w:sz w:val="22"/>
          <w:szCs w:val="22"/>
        </w:rPr>
        <w:t>mouse model of IBD-CRC that recapitulates the histopathology of the human disease.</w:t>
      </w:r>
      <w:r w:rsidR="00A47116">
        <w:rPr>
          <w:sz w:val="22"/>
          <w:szCs w:val="22"/>
        </w:rPr>
        <w:t xml:space="preserve"> Using this model, we have been able to map the contribution of both oncogenic mutations and inflammation in driving tumour development. Interestingly, inflammation induced regeneration remodels the colonic epithelium into a cancer permissive state, enabling oncogene induced tumour initiation long after resolution of tissue damage. This suggests an epigenetic memory of inflammation increases susceptibility to cancer development.</w:t>
      </w:r>
      <w:r w:rsidR="007A18AD">
        <w:rPr>
          <w:sz w:val="22"/>
          <w:szCs w:val="22"/>
        </w:rPr>
        <w:t xml:space="preserve"> </w:t>
      </w:r>
    </w:p>
    <w:p w14:paraId="4AE83F66" w14:textId="77777777" w:rsidR="00A47116" w:rsidRDefault="00A47116" w:rsidP="00FC22E0">
      <w:pPr>
        <w:jc w:val="both"/>
        <w:rPr>
          <w:sz w:val="22"/>
          <w:szCs w:val="22"/>
        </w:rPr>
      </w:pPr>
    </w:p>
    <w:p w14:paraId="2847F12E" w14:textId="68B75351" w:rsidR="00B402B9" w:rsidRDefault="00BD1DE7" w:rsidP="00FC22E0">
      <w:pPr>
        <w:jc w:val="both"/>
        <w:rPr>
          <w:sz w:val="22"/>
          <w:szCs w:val="22"/>
        </w:rPr>
      </w:pPr>
      <w:r w:rsidRPr="00E812C9">
        <w:rPr>
          <w:sz w:val="22"/>
          <w:szCs w:val="22"/>
        </w:rPr>
        <w:t xml:space="preserve">We </w:t>
      </w:r>
      <w:r w:rsidR="00A47116">
        <w:rPr>
          <w:sz w:val="22"/>
          <w:szCs w:val="22"/>
        </w:rPr>
        <w:t>are</w:t>
      </w:r>
      <w:r w:rsidRPr="00E812C9">
        <w:rPr>
          <w:sz w:val="22"/>
          <w:szCs w:val="22"/>
        </w:rPr>
        <w:t xml:space="preserve"> further characteris</w:t>
      </w:r>
      <w:r w:rsidR="00A47116">
        <w:rPr>
          <w:sz w:val="22"/>
          <w:szCs w:val="22"/>
        </w:rPr>
        <w:t>ing</w:t>
      </w:r>
      <w:r w:rsidRPr="00E812C9">
        <w:rPr>
          <w:sz w:val="22"/>
          <w:szCs w:val="22"/>
        </w:rPr>
        <w:t xml:space="preserve"> this model utilising</w:t>
      </w:r>
      <w:r w:rsidR="00A47116" w:rsidRPr="00A47116">
        <w:rPr>
          <w:sz w:val="22"/>
          <w:szCs w:val="22"/>
        </w:rPr>
        <w:t xml:space="preserve"> </w:t>
      </w:r>
      <w:r w:rsidR="00A47116">
        <w:rPr>
          <w:sz w:val="22"/>
          <w:szCs w:val="22"/>
        </w:rPr>
        <w:t>ATAC-seq,</w:t>
      </w:r>
      <w:r w:rsidRPr="00E812C9">
        <w:rPr>
          <w:sz w:val="22"/>
          <w:szCs w:val="22"/>
        </w:rPr>
        <w:t xml:space="preserve"> single cell RNA</w:t>
      </w:r>
      <w:r w:rsidR="002213B6" w:rsidRPr="00E812C9">
        <w:rPr>
          <w:sz w:val="22"/>
          <w:szCs w:val="22"/>
        </w:rPr>
        <w:t>-</w:t>
      </w:r>
      <w:r w:rsidRPr="00E812C9">
        <w:rPr>
          <w:sz w:val="22"/>
          <w:szCs w:val="22"/>
        </w:rPr>
        <w:t>seq</w:t>
      </w:r>
      <w:r w:rsidR="00A47116">
        <w:rPr>
          <w:sz w:val="22"/>
          <w:szCs w:val="22"/>
        </w:rPr>
        <w:t xml:space="preserve"> and spatial transcriptomic </w:t>
      </w:r>
      <w:r w:rsidRPr="00E812C9">
        <w:rPr>
          <w:sz w:val="22"/>
          <w:szCs w:val="22"/>
        </w:rPr>
        <w:t xml:space="preserve">technologies to identify </w:t>
      </w:r>
      <w:r w:rsidR="00A47116">
        <w:rPr>
          <w:sz w:val="22"/>
          <w:szCs w:val="22"/>
        </w:rPr>
        <w:t xml:space="preserve">the epigenetic changes that regulate </w:t>
      </w:r>
      <w:r w:rsidRPr="00E812C9">
        <w:rPr>
          <w:sz w:val="22"/>
          <w:szCs w:val="22"/>
        </w:rPr>
        <w:t xml:space="preserve">cellular transition states at different stages of cancer development. </w:t>
      </w:r>
      <w:r w:rsidR="00A47116">
        <w:rPr>
          <w:sz w:val="22"/>
          <w:szCs w:val="22"/>
        </w:rPr>
        <w:t xml:space="preserve">The aim of the project will be to analyse these datasets to </w:t>
      </w:r>
      <w:r w:rsidRPr="00E812C9">
        <w:rPr>
          <w:sz w:val="22"/>
          <w:szCs w:val="22"/>
        </w:rPr>
        <w:t xml:space="preserve">identify </w:t>
      </w:r>
      <w:r w:rsidR="00A47116">
        <w:rPr>
          <w:sz w:val="22"/>
          <w:szCs w:val="22"/>
        </w:rPr>
        <w:t xml:space="preserve">candidate mechanisms that control inflammation associated regeneration and tumour </w:t>
      </w:r>
      <w:r w:rsidR="007A18AD">
        <w:rPr>
          <w:sz w:val="22"/>
          <w:szCs w:val="22"/>
        </w:rPr>
        <w:t>initiation</w:t>
      </w:r>
      <w:r w:rsidR="00A47116">
        <w:rPr>
          <w:sz w:val="22"/>
          <w:szCs w:val="22"/>
        </w:rPr>
        <w:t xml:space="preserve">. This will inform functional studies to assess the role of these mechanisms in cancer development using </w:t>
      </w:r>
      <w:r w:rsidRPr="00E812C9">
        <w:rPr>
          <w:sz w:val="22"/>
          <w:szCs w:val="22"/>
        </w:rPr>
        <w:t xml:space="preserve">animal and ex vivo </w:t>
      </w:r>
      <w:r w:rsidR="002213B6" w:rsidRPr="00E812C9">
        <w:rPr>
          <w:sz w:val="22"/>
          <w:szCs w:val="22"/>
        </w:rPr>
        <w:t xml:space="preserve">murine intestinal </w:t>
      </w:r>
      <w:r w:rsidRPr="00E812C9">
        <w:rPr>
          <w:sz w:val="22"/>
          <w:szCs w:val="22"/>
        </w:rPr>
        <w:t xml:space="preserve">organoid models. </w:t>
      </w:r>
      <w:r w:rsidR="007A18AD">
        <w:rPr>
          <w:sz w:val="22"/>
          <w:szCs w:val="22"/>
        </w:rPr>
        <w:t xml:space="preserve">In parallel, we have generated a dataset of exome-seq </w:t>
      </w:r>
      <w:r w:rsidR="007A18AD">
        <w:rPr>
          <w:sz w:val="22"/>
          <w:szCs w:val="22"/>
        </w:rPr>
        <w:t xml:space="preserve">from a cohort </w:t>
      </w:r>
      <w:r w:rsidR="007A18AD">
        <w:rPr>
          <w:sz w:val="22"/>
          <w:szCs w:val="22"/>
        </w:rPr>
        <w:t>of human IBD-dysplasia lesions</w:t>
      </w:r>
      <w:r w:rsidR="007A18AD">
        <w:rPr>
          <w:sz w:val="22"/>
          <w:szCs w:val="22"/>
        </w:rPr>
        <w:t>. This provides a</w:t>
      </w:r>
      <w:r w:rsidR="007A18AD">
        <w:rPr>
          <w:sz w:val="22"/>
          <w:szCs w:val="22"/>
        </w:rPr>
        <w:t xml:space="preserve">n exceptional human disease resource </w:t>
      </w:r>
      <w:r w:rsidR="007A18AD">
        <w:rPr>
          <w:sz w:val="22"/>
          <w:szCs w:val="22"/>
        </w:rPr>
        <w:t>for</w:t>
      </w:r>
      <w:r w:rsidR="007A18AD">
        <w:rPr>
          <w:sz w:val="22"/>
          <w:szCs w:val="22"/>
        </w:rPr>
        <w:t xml:space="preserve"> validat</w:t>
      </w:r>
      <w:r w:rsidR="007A18AD">
        <w:rPr>
          <w:sz w:val="22"/>
          <w:szCs w:val="22"/>
        </w:rPr>
        <w:t>ing the findings from our animal models in human disease</w:t>
      </w:r>
      <w:r w:rsidRPr="00E812C9">
        <w:rPr>
          <w:sz w:val="22"/>
          <w:szCs w:val="22"/>
        </w:rPr>
        <w:t xml:space="preserve"> using immunohistochemical </w:t>
      </w:r>
      <w:r w:rsidR="007A18AD">
        <w:rPr>
          <w:sz w:val="22"/>
          <w:szCs w:val="22"/>
        </w:rPr>
        <w:t xml:space="preserve">and/or spatial transcriptomic </w:t>
      </w:r>
      <w:r w:rsidRPr="00E812C9">
        <w:rPr>
          <w:sz w:val="22"/>
          <w:szCs w:val="22"/>
        </w:rPr>
        <w:t>analys</w:t>
      </w:r>
      <w:r w:rsidR="007A18AD">
        <w:rPr>
          <w:sz w:val="22"/>
          <w:szCs w:val="22"/>
        </w:rPr>
        <w:t>e</w:t>
      </w:r>
      <w:r w:rsidRPr="00E812C9">
        <w:rPr>
          <w:sz w:val="22"/>
          <w:szCs w:val="22"/>
        </w:rPr>
        <w:t>s</w:t>
      </w:r>
      <w:r w:rsidR="007A18AD">
        <w:rPr>
          <w:sz w:val="22"/>
          <w:szCs w:val="22"/>
        </w:rPr>
        <w:t>.</w:t>
      </w:r>
      <w:r w:rsidRPr="00E812C9">
        <w:rPr>
          <w:sz w:val="22"/>
          <w:szCs w:val="22"/>
        </w:rPr>
        <w:t xml:space="preserve"> </w:t>
      </w:r>
    </w:p>
    <w:p w14:paraId="4A3A55AC" w14:textId="3AF588BE" w:rsidR="00D40C06" w:rsidRDefault="00D40C06" w:rsidP="00FC22E0">
      <w:pPr>
        <w:jc w:val="both"/>
        <w:rPr>
          <w:sz w:val="22"/>
          <w:szCs w:val="22"/>
        </w:rPr>
      </w:pPr>
    </w:p>
    <w:p w14:paraId="6BD5B96F" w14:textId="35DE91FE" w:rsidR="00FD38A7" w:rsidRDefault="00D40C06" w:rsidP="00FC22E0">
      <w:pPr>
        <w:jc w:val="both"/>
        <w:rPr>
          <w:sz w:val="22"/>
          <w:szCs w:val="22"/>
        </w:rPr>
      </w:pPr>
      <w:r>
        <w:rPr>
          <w:noProof/>
          <w:sz w:val="22"/>
          <w:szCs w:val="22"/>
          <w:lang w:eastAsia="en-GB"/>
        </w:rPr>
        <w:drawing>
          <wp:inline distT="0" distB="0" distL="0" distR="0" wp14:anchorId="3AFC863B" wp14:editId="04B653BD">
            <wp:extent cx="4993005" cy="159702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93005" cy="1597025"/>
                    </a:xfrm>
                    <a:prstGeom prst="rect">
                      <a:avLst/>
                    </a:prstGeom>
                    <a:noFill/>
                  </pic:spPr>
                </pic:pic>
              </a:graphicData>
            </a:graphic>
          </wp:inline>
        </w:drawing>
      </w:r>
    </w:p>
    <w:p w14:paraId="36938295" w14:textId="540568A4" w:rsidR="00D40C06" w:rsidRDefault="00D40C06" w:rsidP="00FC22E0">
      <w:pPr>
        <w:jc w:val="both"/>
        <w:rPr>
          <w:sz w:val="22"/>
          <w:szCs w:val="22"/>
        </w:rPr>
      </w:pPr>
    </w:p>
    <w:p w14:paraId="6E8C4599" w14:textId="6D923FD3" w:rsidR="00D40C06" w:rsidRPr="00D40C06" w:rsidRDefault="00D40C06" w:rsidP="00FC22E0">
      <w:pPr>
        <w:jc w:val="both"/>
        <w:rPr>
          <w:sz w:val="22"/>
          <w:szCs w:val="22"/>
        </w:rPr>
      </w:pPr>
      <w:r>
        <w:rPr>
          <w:b/>
          <w:sz w:val="22"/>
          <w:szCs w:val="22"/>
        </w:rPr>
        <w:t>Figure 1.</w:t>
      </w:r>
      <w:r>
        <w:rPr>
          <w:sz w:val="22"/>
          <w:szCs w:val="22"/>
        </w:rPr>
        <w:t xml:space="preserve"> Model of how unchecked regeneration following damage</w:t>
      </w:r>
      <w:r>
        <w:rPr>
          <w:b/>
          <w:sz w:val="22"/>
          <w:szCs w:val="22"/>
        </w:rPr>
        <w:t xml:space="preserve"> </w:t>
      </w:r>
      <w:r>
        <w:rPr>
          <w:sz w:val="22"/>
          <w:szCs w:val="22"/>
        </w:rPr>
        <w:t>in the presence of oncogenic mutations can lead to cancer development.</w:t>
      </w:r>
    </w:p>
    <w:p w14:paraId="2298D56C" w14:textId="77777777" w:rsidR="00D40C06" w:rsidRPr="00FD38A7" w:rsidRDefault="00D40C06"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6F539C86" w14:textId="0FF84603" w:rsidR="0007041D" w:rsidRDefault="00611CA2">
      <w:pPr>
        <w:rPr>
          <w:sz w:val="22"/>
          <w:szCs w:val="22"/>
        </w:rPr>
      </w:pPr>
      <w:r w:rsidRPr="00611CA2">
        <w:rPr>
          <w:sz w:val="22"/>
          <w:szCs w:val="22"/>
        </w:rPr>
        <w:t>YAP/TAZ-Dependent Reprogramming of Colonic Epithelium Links ECM Remodeling to Tissue Regeneration</w:t>
      </w:r>
      <w:r>
        <w:rPr>
          <w:sz w:val="22"/>
          <w:szCs w:val="22"/>
        </w:rPr>
        <w:t xml:space="preserve">. Yui et al., </w:t>
      </w:r>
      <w:r w:rsidRPr="00611CA2">
        <w:rPr>
          <w:sz w:val="22"/>
          <w:szCs w:val="22"/>
        </w:rPr>
        <w:t>Cell Stem Cell. 2018 Jan 4; 22(1): 35–49.e7</w:t>
      </w:r>
      <w:r w:rsidR="00594563">
        <w:rPr>
          <w:sz w:val="22"/>
          <w:szCs w:val="22"/>
        </w:rPr>
        <w:t>.</w:t>
      </w:r>
      <w:r>
        <w:rPr>
          <w:sz w:val="22"/>
          <w:szCs w:val="22"/>
        </w:rPr>
        <w:t xml:space="preserve"> </w:t>
      </w:r>
      <w:r w:rsidRPr="00611CA2">
        <w:rPr>
          <w:sz w:val="22"/>
          <w:szCs w:val="22"/>
        </w:rPr>
        <w:t>PMID: 29249464</w:t>
      </w:r>
    </w:p>
    <w:p w14:paraId="78FF4ED5" w14:textId="75802DF2" w:rsidR="00594563" w:rsidRDefault="00594563">
      <w:pPr>
        <w:rPr>
          <w:sz w:val="22"/>
          <w:szCs w:val="22"/>
        </w:rPr>
      </w:pPr>
    </w:p>
    <w:p w14:paraId="516FA4C2" w14:textId="63BFCF00" w:rsidR="00594563" w:rsidRDefault="00594563">
      <w:pPr>
        <w:rPr>
          <w:sz w:val="22"/>
          <w:szCs w:val="22"/>
        </w:rPr>
      </w:pPr>
      <w:r w:rsidRPr="00594563">
        <w:rPr>
          <w:sz w:val="22"/>
          <w:szCs w:val="22"/>
        </w:rPr>
        <w:t xml:space="preserve">Parasitic </w:t>
      </w:r>
      <w:r w:rsidRPr="00412613">
        <w:rPr>
          <w:sz w:val="22"/>
          <w:szCs w:val="22"/>
        </w:rPr>
        <w:t>helminths induce fetal-like</w:t>
      </w:r>
      <w:r w:rsidRPr="00594563">
        <w:rPr>
          <w:sz w:val="22"/>
          <w:szCs w:val="22"/>
        </w:rPr>
        <w:t xml:space="preserve"> reversion in the intestinal stem cell niche</w:t>
      </w:r>
      <w:r>
        <w:rPr>
          <w:sz w:val="22"/>
          <w:szCs w:val="22"/>
        </w:rPr>
        <w:t xml:space="preserve">. Nusse et al., </w:t>
      </w:r>
      <w:r w:rsidRPr="00594563">
        <w:rPr>
          <w:sz w:val="22"/>
          <w:szCs w:val="22"/>
        </w:rPr>
        <w:t>Nature. 2018 Jul; 559(7712): 109–113.</w:t>
      </w:r>
      <w:r>
        <w:rPr>
          <w:sz w:val="22"/>
          <w:szCs w:val="22"/>
        </w:rPr>
        <w:t xml:space="preserve"> </w:t>
      </w:r>
      <w:r w:rsidRPr="00594563">
        <w:rPr>
          <w:sz w:val="22"/>
          <w:szCs w:val="22"/>
        </w:rPr>
        <w:t>PMID: 29950724</w:t>
      </w:r>
    </w:p>
    <w:p w14:paraId="716F78C0" w14:textId="5C785CD4" w:rsidR="00594563" w:rsidRDefault="00594563">
      <w:pPr>
        <w:rPr>
          <w:sz w:val="22"/>
          <w:szCs w:val="22"/>
        </w:rPr>
      </w:pPr>
    </w:p>
    <w:p w14:paraId="108E0D41" w14:textId="49DF8A85" w:rsidR="00594563" w:rsidRPr="0007041D" w:rsidRDefault="00594563" w:rsidP="00594563">
      <w:pPr>
        <w:rPr>
          <w:sz w:val="22"/>
          <w:szCs w:val="22"/>
        </w:rPr>
      </w:pPr>
      <w:r w:rsidRPr="00594563">
        <w:rPr>
          <w:sz w:val="22"/>
          <w:szCs w:val="22"/>
        </w:rPr>
        <w:t>Intestinal Regeneration: Regulation by the Microenvironment</w:t>
      </w:r>
      <w:r>
        <w:rPr>
          <w:sz w:val="22"/>
          <w:szCs w:val="22"/>
        </w:rPr>
        <w:t xml:space="preserve">. Hageman et al., </w:t>
      </w:r>
      <w:r w:rsidRPr="00594563">
        <w:rPr>
          <w:sz w:val="22"/>
          <w:szCs w:val="22"/>
        </w:rPr>
        <w:t>Dev Cell. 2020 Aug 24;54(4):435-446.</w:t>
      </w:r>
      <w:r>
        <w:rPr>
          <w:sz w:val="22"/>
          <w:szCs w:val="22"/>
        </w:rPr>
        <w:t xml:space="preserve"> </w:t>
      </w:r>
      <w:r w:rsidRPr="00594563">
        <w:rPr>
          <w:sz w:val="22"/>
          <w:szCs w:val="22"/>
        </w:rPr>
        <w:t>PMID: 32841594</w:t>
      </w:r>
    </w:p>
    <w:sectPr w:rsidR="00594563"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Gothic-Heavy">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213B6"/>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2613"/>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0CE7"/>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94563"/>
    <w:rsid w:val="005B2174"/>
    <w:rsid w:val="005B5315"/>
    <w:rsid w:val="005C1391"/>
    <w:rsid w:val="005C44DC"/>
    <w:rsid w:val="005D42AB"/>
    <w:rsid w:val="005E6340"/>
    <w:rsid w:val="005E6A4B"/>
    <w:rsid w:val="005F3370"/>
    <w:rsid w:val="00611CA2"/>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25CC7"/>
    <w:rsid w:val="00730CFD"/>
    <w:rsid w:val="0074505A"/>
    <w:rsid w:val="00760F13"/>
    <w:rsid w:val="00766A3B"/>
    <w:rsid w:val="00766BA8"/>
    <w:rsid w:val="007674F9"/>
    <w:rsid w:val="00783754"/>
    <w:rsid w:val="0079183B"/>
    <w:rsid w:val="007A18AD"/>
    <w:rsid w:val="007B1387"/>
    <w:rsid w:val="007B3DB6"/>
    <w:rsid w:val="007E1B8D"/>
    <w:rsid w:val="00806088"/>
    <w:rsid w:val="008234BB"/>
    <w:rsid w:val="00834F66"/>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47116"/>
    <w:rsid w:val="00A54AE9"/>
    <w:rsid w:val="00A669DB"/>
    <w:rsid w:val="00A67A03"/>
    <w:rsid w:val="00A842A5"/>
    <w:rsid w:val="00AA284E"/>
    <w:rsid w:val="00AC0FF1"/>
    <w:rsid w:val="00AC6F46"/>
    <w:rsid w:val="00AD1310"/>
    <w:rsid w:val="00AF1722"/>
    <w:rsid w:val="00B044A3"/>
    <w:rsid w:val="00B2655A"/>
    <w:rsid w:val="00B26EB5"/>
    <w:rsid w:val="00B30596"/>
    <w:rsid w:val="00B359A2"/>
    <w:rsid w:val="00B402B9"/>
    <w:rsid w:val="00B60679"/>
    <w:rsid w:val="00B6331F"/>
    <w:rsid w:val="00B77342"/>
    <w:rsid w:val="00B777F1"/>
    <w:rsid w:val="00B83B9D"/>
    <w:rsid w:val="00B86BB9"/>
    <w:rsid w:val="00BA0B78"/>
    <w:rsid w:val="00BD1DE7"/>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E11AA"/>
    <w:rsid w:val="00CF00FC"/>
    <w:rsid w:val="00D007A3"/>
    <w:rsid w:val="00D0491D"/>
    <w:rsid w:val="00D04B90"/>
    <w:rsid w:val="00D12F03"/>
    <w:rsid w:val="00D16F64"/>
    <w:rsid w:val="00D212C2"/>
    <w:rsid w:val="00D33511"/>
    <w:rsid w:val="00D33778"/>
    <w:rsid w:val="00D33C88"/>
    <w:rsid w:val="00D40C06"/>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2C9"/>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56D8D235-0793-4ABB-87E2-3BA5800588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7A18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www.ed.ac.uk/cancer-centre/research/arends-group"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ed.ac.uk/cancer-centre/research/myant-group" TargetMode="External"/><Relationship Id="rId11" Type="http://schemas.openxmlformats.org/officeDocument/2006/relationships/customXml" Target="../customXml/item1.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02FF96D-1E78-4E80-9E75-DE50BEA3ADF1}"/>
</file>

<file path=customXml/itemProps2.xml><?xml version="1.0" encoding="utf-8"?>
<ds:datastoreItem xmlns:ds="http://schemas.openxmlformats.org/officeDocument/2006/customXml" ds:itemID="{FB64CBEF-E444-47A6-BEBB-93590B4676E6}"/>
</file>

<file path=customXml/itemProps3.xml><?xml version="1.0" encoding="utf-8"?>
<ds:datastoreItem xmlns:ds="http://schemas.openxmlformats.org/officeDocument/2006/customXml" ds:itemID="{ECF54456-1E70-46D6-8F4A-6CB54C453770}"/>
</file>

<file path=docProps/app.xml><?xml version="1.0" encoding="utf-8"?>
<Properties xmlns="http://schemas.openxmlformats.org/officeDocument/2006/extended-properties" xmlns:vt="http://schemas.openxmlformats.org/officeDocument/2006/docPropsVTypes">
  <Template>Normal</Template>
  <TotalTime>10</TotalTime>
  <Pages>2</Pages>
  <Words>752</Words>
  <Characters>4287</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Kevin Myant</cp:lastModifiedBy>
  <cp:revision>3</cp:revision>
  <dcterms:created xsi:type="dcterms:W3CDTF">2025-02-26T11:33:00Z</dcterms:created>
  <dcterms:modified xsi:type="dcterms:W3CDTF">2025-02-26T11:35:00Z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