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6D114ED4"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2F0FA2F2" w:rsidR="00C91D53" w:rsidRDefault="00C91D53" w:rsidP="00FC22E0">
      <w:pPr>
        <w:jc w:val="both"/>
        <w:rPr>
          <w:b/>
          <w:bCs/>
          <w:sz w:val="22"/>
          <w:szCs w:val="22"/>
        </w:rPr>
      </w:pPr>
    </w:p>
    <w:p w14:paraId="702183E5" w14:textId="2F035DAA" w:rsidR="00A40DCB" w:rsidRPr="00FD38A7" w:rsidRDefault="00830F86" w:rsidP="00FC22E0">
      <w:pPr>
        <w:jc w:val="both"/>
        <w:rPr>
          <w:b/>
          <w:bCs/>
          <w:sz w:val="22"/>
          <w:szCs w:val="22"/>
        </w:rPr>
      </w:pPr>
      <w:r w:rsidRPr="003B7946">
        <w:rPr>
          <w:rFonts w:ascii="Calibri" w:eastAsia="Times New Roman" w:hAnsi="Calibri" w:cs="FranklinGothic-Heavy"/>
          <w:b/>
          <w:sz w:val="22"/>
          <w:szCs w:val="22"/>
          <w:lang w:eastAsia="en-GB"/>
        </w:rPr>
        <w:t>MB-</w:t>
      </w:r>
      <w:proofErr w:type="gramStart"/>
      <w:r w:rsidRPr="003B7946">
        <w:rPr>
          <w:rFonts w:ascii="Calibri" w:eastAsia="Times New Roman" w:hAnsi="Calibri" w:cs="FranklinGothic-Heavy"/>
          <w:b/>
          <w:sz w:val="22"/>
          <w:szCs w:val="22"/>
          <w:lang w:eastAsia="en-GB"/>
        </w:rPr>
        <w:t>PhD</w:t>
      </w:r>
      <w:r>
        <w:rPr>
          <w:rFonts w:ascii="Calibri" w:eastAsia="Times New Roman" w:hAnsi="Calibri" w:cs="FranklinGothic-Heavy"/>
          <w:sz w:val="22"/>
          <w:szCs w:val="22"/>
          <w:lang w:eastAsia="en-GB"/>
        </w:rPr>
        <w:t xml:space="preserve">  </w:t>
      </w:r>
      <w:r w:rsidR="00A40DCB" w:rsidRPr="00FD38A7">
        <w:rPr>
          <w:b/>
          <w:bCs/>
          <w:sz w:val="22"/>
          <w:szCs w:val="22"/>
        </w:rPr>
        <w:t>Project</w:t>
      </w:r>
      <w:proofErr w:type="gramEnd"/>
      <w:r w:rsidR="00A40DCB" w:rsidRPr="00FD38A7">
        <w:rPr>
          <w:b/>
          <w:bCs/>
          <w:sz w:val="22"/>
          <w:szCs w:val="22"/>
        </w:rPr>
        <w:t xml:space="preserve"> </w:t>
      </w:r>
      <w:r w:rsidR="00806088">
        <w:rPr>
          <w:b/>
          <w:bCs/>
          <w:sz w:val="22"/>
          <w:szCs w:val="22"/>
        </w:rPr>
        <w:t>t</w:t>
      </w:r>
      <w:r w:rsidR="00A40DCB" w:rsidRPr="00FD38A7">
        <w:rPr>
          <w:b/>
          <w:bCs/>
          <w:sz w:val="22"/>
          <w:szCs w:val="22"/>
        </w:rPr>
        <w:t>itle:</w:t>
      </w:r>
      <w:r w:rsidR="002A7313" w:rsidRPr="00FD38A7">
        <w:rPr>
          <w:b/>
          <w:bCs/>
          <w:sz w:val="22"/>
          <w:szCs w:val="22"/>
        </w:rPr>
        <w:t xml:space="preserve"> </w:t>
      </w:r>
    </w:p>
    <w:p w14:paraId="02B5E658" w14:textId="15F350D3" w:rsidR="00A40DCB" w:rsidRDefault="00B31A82" w:rsidP="00FC22E0">
      <w:pPr>
        <w:jc w:val="both"/>
        <w:rPr>
          <w:b/>
          <w:bCs/>
          <w:sz w:val="22"/>
          <w:szCs w:val="22"/>
        </w:rPr>
      </w:pPr>
      <w:r w:rsidRPr="00B31A82">
        <w:rPr>
          <w:b/>
          <w:bCs/>
          <w:sz w:val="22"/>
          <w:szCs w:val="22"/>
        </w:rPr>
        <w:t>Genomic complexity and survival in high grade serous ovarian cancer</w:t>
      </w:r>
    </w:p>
    <w:p w14:paraId="34E90182" w14:textId="77777777" w:rsidR="00FD38A7" w:rsidRPr="00FD38A7" w:rsidRDefault="00FD38A7" w:rsidP="00FC22E0">
      <w:pPr>
        <w:jc w:val="both"/>
        <w:rPr>
          <w:b/>
          <w:bCs/>
          <w:sz w:val="22"/>
          <w:szCs w:val="22"/>
        </w:rPr>
      </w:pPr>
    </w:p>
    <w:p w14:paraId="7A2F6CE9" w14:textId="77777777" w:rsidR="00B31A82" w:rsidRDefault="002E79A8" w:rsidP="00FC22E0">
      <w:pPr>
        <w:jc w:val="both"/>
        <w:rPr>
          <w:b/>
          <w:bCs/>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w:t>
      </w:r>
    </w:p>
    <w:p w14:paraId="16758919" w14:textId="4D817341" w:rsidR="002E79A8" w:rsidRPr="00B31A82" w:rsidRDefault="00B31A82" w:rsidP="00FC22E0">
      <w:pPr>
        <w:jc w:val="both"/>
        <w:rPr>
          <w:bCs/>
          <w:i/>
          <w:sz w:val="22"/>
          <w:szCs w:val="22"/>
        </w:rPr>
      </w:pPr>
      <w:r w:rsidRPr="00B31A82">
        <w:rPr>
          <w:sz w:val="22"/>
          <w:szCs w:val="22"/>
        </w:rPr>
        <w:t>Colin Semple, Charlie Gourley, Ryan Silk</w:t>
      </w: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1DB5F6B9" w14:textId="69FE6195" w:rsidR="00A40DCB" w:rsidRDefault="00B31A82" w:rsidP="00FC22E0">
      <w:pPr>
        <w:jc w:val="both"/>
        <w:rPr>
          <w:sz w:val="22"/>
          <w:szCs w:val="22"/>
        </w:rPr>
      </w:pPr>
      <w:hyperlink r:id="rId6" w:history="1">
        <w:r w:rsidRPr="00BA2CE7">
          <w:rPr>
            <w:rStyle w:val="Hyperlink"/>
            <w:sz w:val="22"/>
            <w:szCs w:val="22"/>
          </w:rPr>
          <w:t>https://institute-genetics-cancer.ed.ac.uk/research/research-groups-a-z/semple-group</w:t>
        </w:r>
      </w:hyperlink>
    </w:p>
    <w:p w14:paraId="03D0578C" w14:textId="4A5A9268" w:rsidR="00B31A82" w:rsidRDefault="00B31A82" w:rsidP="00FC22E0">
      <w:pPr>
        <w:jc w:val="both"/>
        <w:rPr>
          <w:sz w:val="22"/>
          <w:szCs w:val="22"/>
        </w:rPr>
      </w:pPr>
      <w:hyperlink r:id="rId7" w:history="1">
        <w:r w:rsidRPr="00BA2CE7">
          <w:rPr>
            <w:rStyle w:val="Hyperlink"/>
            <w:sz w:val="22"/>
            <w:szCs w:val="22"/>
          </w:rPr>
          <w:t>https://institute-genetics-cancer.ed.ac.uk/research/research-groups-a-z/gourley-group</w:t>
        </w:r>
      </w:hyperlink>
    </w:p>
    <w:p w14:paraId="0F5507CB" w14:textId="77777777" w:rsidR="00FD38A7" w:rsidRPr="00FD38A7" w:rsidRDefault="00FD38A7"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7A179D32" w14:textId="77777777" w:rsidR="00B31A82" w:rsidRPr="00B31A82" w:rsidRDefault="00B31A82" w:rsidP="00B31A82">
      <w:pPr>
        <w:jc w:val="both"/>
        <w:rPr>
          <w:sz w:val="22"/>
          <w:szCs w:val="22"/>
        </w:rPr>
      </w:pPr>
    </w:p>
    <w:p w14:paraId="76F66EB6" w14:textId="3BA3BD44" w:rsidR="00B31A82" w:rsidRPr="00B31A82" w:rsidRDefault="00B31A82" w:rsidP="00B31A82">
      <w:pPr>
        <w:jc w:val="both"/>
        <w:rPr>
          <w:sz w:val="22"/>
          <w:szCs w:val="22"/>
        </w:rPr>
      </w:pPr>
      <w:r w:rsidRPr="00B31A82">
        <w:rPr>
          <w:sz w:val="22"/>
          <w:szCs w:val="22"/>
        </w:rPr>
        <w:t xml:space="preserve">Recent studies have demonstrated the additional insights into </w:t>
      </w:r>
      <w:r w:rsidR="004B6E44" w:rsidRPr="00B31A82">
        <w:rPr>
          <w:sz w:val="22"/>
          <w:szCs w:val="22"/>
        </w:rPr>
        <w:t xml:space="preserve">complex structural variants </w:t>
      </w:r>
      <w:r w:rsidR="004B6E44">
        <w:rPr>
          <w:sz w:val="22"/>
          <w:szCs w:val="22"/>
        </w:rPr>
        <w:t>(</w:t>
      </w:r>
      <w:r w:rsidRPr="00B31A82">
        <w:rPr>
          <w:sz w:val="22"/>
          <w:szCs w:val="22"/>
        </w:rPr>
        <w:t>CSVs</w:t>
      </w:r>
      <w:r w:rsidR="004B6E44">
        <w:rPr>
          <w:sz w:val="22"/>
          <w:szCs w:val="22"/>
        </w:rPr>
        <w:t>)</w:t>
      </w:r>
      <w:r w:rsidRPr="00B31A82">
        <w:rPr>
          <w:sz w:val="22"/>
          <w:szCs w:val="22"/>
        </w:rPr>
        <w:t xml:space="preserve"> that large</w:t>
      </w:r>
      <w:r w:rsidR="004B6E44">
        <w:rPr>
          <w:sz w:val="22"/>
          <w:szCs w:val="22"/>
        </w:rPr>
        <w:t>,</w:t>
      </w:r>
      <w:r w:rsidRPr="00B31A82">
        <w:rPr>
          <w:sz w:val="22"/>
          <w:szCs w:val="22"/>
        </w:rPr>
        <w:t xml:space="preserve"> combined cohorts of WGS tumours can provide, even in relatively well studied tumour types (Houlahan et al, 2025). We are now uniquely well placed to carry out a comprehensive analysis of CSVs in HGSOC, combining our own data (N=324, Ewing et al, 2024) with a Genomics England HGSOC cohort (N=356; </w:t>
      </w:r>
      <w:proofErr w:type="spellStart"/>
      <w:r w:rsidRPr="00B31A82">
        <w:rPr>
          <w:sz w:val="22"/>
          <w:szCs w:val="22"/>
        </w:rPr>
        <w:t>Sosinsky</w:t>
      </w:r>
      <w:proofErr w:type="spellEnd"/>
      <w:r w:rsidRPr="00B31A82">
        <w:rPr>
          <w:sz w:val="22"/>
          <w:szCs w:val="22"/>
        </w:rPr>
        <w:t xml:space="preserve"> et al, 2024), to create the largest, uniformly analysed WGS cohort to date for this tumour type. In parallel we are also generating nanopore long read WGS for many of our own samples, to define CSVs in greater detail. Having determined CSVs across the combined cohort, we will use established regression and machine learning approaches (</w:t>
      </w:r>
      <w:proofErr w:type="spellStart"/>
      <w:r w:rsidRPr="00B31A82">
        <w:rPr>
          <w:sz w:val="22"/>
          <w:szCs w:val="22"/>
        </w:rPr>
        <w:t>eg</w:t>
      </w:r>
      <w:proofErr w:type="spellEnd"/>
      <w:r w:rsidRPr="00B31A82">
        <w:rPr>
          <w:sz w:val="22"/>
          <w:szCs w:val="22"/>
        </w:rPr>
        <w:t xml:space="preserve"> Ewing et al, 2024) to model the independent and joint effects of all somatic tumour alterations on patient survival in HGSOC. We will also define novel tumour archetypes according to their altered genomic states, to reveal potent new biomarkers of patient outcomes, and suggest novel therapeutic targets. Overall, we will use the combined cohort data to address the following questions.</w:t>
      </w:r>
    </w:p>
    <w:p w14:paraId="67023D5E" w14:textId="77777777" w:rsidR="00B31A82" w:rsidRPr="00B31A82" w:rsidRDefault="00B31A82" w:rsidP="00B31A82">
      <w:pPr>
        <w:jc w:val="both"/>
        <w:rPr>
          <w:sz w:val="22"/>
          <w:szCs w:val="22"/>
        </w:rPr>
      </w:pPr>
      <w:r w:rsidRPr="00B31A82">
        <w:rPr>
          <w:sz w:val="22"/>
          <w:szCs w:val="22"/>
        </w:rPr>
        <w:t>1. In a well powered cohort, what are the recurrent patterns and processes of mutation generating CSVs in HGSOC?</w:t>
      </w:r>
    </w:p>
    <w:p w14:paraId="5BF925B9" w14:textId="77777777" w:rsidR="00B31A82" w:rsidRPr="00B31A82" w:rsidRDefault="00B31A82" w:rsidP="00B31A82">
      <w:pPr>
        <w:jc w:val="both"/>
        <w:rPr>
          <w:sz w:val="22"/>
          <w:szCs w:val="22"/>
        </w:rPr>
      </w:pPr>
      <w:r w:rsidRPr="00B31A82">
        <w:rPr>
          <w:sz w:val="22"/>
          <w:szCs w:val="22"/>
        </w:rPr>
        <w:t>2. What structural alterations define the main genomic archetypes and evolutionary trajectories in HGSOC?</w:t>
      </w:r>
    </w:p>
    <w:p w14:paraId="00291D9A" w14:textId="77777777" w:rsidR="00B31A82" w:rsidRPr="00B31A82" w:rsidRDefault="00B31A82" w:rsidP="00B31A82">
      <w:pPr>
        <w:jc w:val="both"/>
        <w:rPr>
          <w:sz w:val="22"/>
          <w:szCs w:val="22"/>
        </w:rPr>
      </w:pPr>
      <w:r w:rsidRPr="00B31A82">
        <w:rPr>
          <w:sz w:val="22"/>
          <w:szCs w:val="22"/>
        </w:rPr>
        <w:t>3. How do clinical outcomes differ between tumour archetypes?</w:t>
      </w:r>
    </w:p>
    <w:p w14:paraId="4C18BE3A" w14:textId="77777777" w:rsidR="00FD38A7" w:rsidRP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2133B139" w14:textId="5722A029" w:rsidR="00A40DCB" w:rsidRDefault="00A40DCB" w:rsidP="00FC22E0">
      <w:pPr>
        <w:jc w:val="both"/>
        <w:rPr>
          <w:sz w:val="22"/>
          <w:szCs w:val="22"/>
        </w:rPr>
      </w:pPr>
    </w:p>
    <w:p w14:paraId="5254D5D4" w14:textId="7252B827" w:rsidR="00FD38A7" w:rsidRDefault="004B6E44" w:rsidP="00FC22E0">
      <w:pPr>
        <w:jc w:val="both"/>
        <w:rPr>
          <w:sz w:val="22"/>
          <w:szCs w:val="22"/>
        </w:rPr>
      </w:pPr>
      <w:r w:rsidRPr="00B31A82">
        <w:rPr>
          <w:sz w:val="22"/>
          <w:szCs w:val="22"/>
        </w:rPr>
        <w:t xml:space="preserve">Although we are in the golden age of cancer genomics, with large volumes of sequencing data available, many fundamental aspects of tumour biology remain poorly understood. </w:t>
      </w:r>
      <w:r>
        <w:rPr>
          <w:sz w:val="22"/>
          <w:szCs w:val="22"/>
        </w:rPr>
        <w:t>O</w:t>
      </w:r>
      <w:r w:rsidRPr="00B31A82">
        <w:rPr>
          <w:sz w:val="22"/>
          <w:szCs w:val="22"/>
        </w:rPr>
        <w:t xml:space="preserve">ver the past few </w:t>
      </w:r>
      <w:proofErr w:type="gramStart"/>
      <w:r w:rsidRPr="00B31A82">
        <w:rPr>
          <w:sz w:val="22"/>
          <w:szCs w:val="22"/>
        </w:rPr>
        <w:lastRenderedPageBreak/>
        <w:t>years</w:t>
      </w:r>
      <w:proofErr w:type="gramEnd"/>
      <w:r w:rsidRPr="00B31A82">
        <w:rPr>
          <w:sz w:val="22"/>
          <w:szCs w:val="22"/>
        </w:rPr>
        <w:t xml:space="preserve"> it has become clear that a variety of tumour types undergo catastrophic mutational events that generate complex rearrangements of the genome. These include </w:t>
      </w:r>
      <w:proofErr w:type="spellStart"/>
      <w:r w:rsidRPr="00B31A82">
        <w:rPr>
          <w:sz w:val="22"/>
          <w:szCs w:val="22"/>
        </w:rPr>
        <w:t>chromothripsis</w:t>
      </w:r>
      <w:proofErr w:type="spellEnd"/>
      <w:r w:rsidRPr="00B31A82">
        <w:rPr>
          <w:sz w:val="22"/>
          <w:szCs w:val="22"/>
        </w:rPr>
        <w:t xml:space="preserve">, </w:t>
      </w:r>
      <w:proofErr w:type="spellStart"/>
      <w:r w:rsidRPr="00B31A82">
        <w:rPr>
          <w:sz w:val="22"/>
          <w:szCs w:val="22"/>
        </w:rPr>
        <w:t>chromoplexy</w:t>
      </w:r>
      <w:proofErr w:type="spellEnd"/>
      <w:r w:rsidRPr="00B31A82">
        <w:rPr>
          <w:sz w:val="22"/>
          <w:szCs w:val="22"/>
        </w:rPr>
        <w:t xml:space="preserve">, breakage fusion bridges and </w:t>
      </w:r>
      <w:proofErr w:type="spellStart"/>
      <w:r w:rsidRPr="00B31A82">
        <w:rPr>
          <w:sz w:val="22"/>
          <w:szCs w:val="22"/>
        </w:rPr>
        <w:t>ecDNAs</w:t>
      </w:r>
      <w:proofErr w:type="spellEnd"/>
      <w:r w:rsidRPr="00B31A82">
        <w:rPr>
          <w:sz w:val="22"/>
          <w:szCs w:val="22"/>
        </w:rPr>
        <w:t xml:space="preserve"> (Hamdan and Ewing, 2022). Although there are tumour types where these complex structural variants (CSVs) are thought to affect survival, as is the case in high grade serous ovarian cancer (HGSOC), the roles of genomic complexity in disease progression are generally poorly understood. However, our recent data suggest CSVs do co-occur </w:t>
      </w:r>
      <w:proofErr w:type="gramStart"/>
      <w:r>
        <w:rPr>
          <w:sz w:val="22"/>
          <w:szCs w:val="22"/>
        </w:rPr>
        <w:t>in</w:t>
      </w:r>
      <w:r w:rsidRPr="00B31A82">
        <w:rPr>
          <w:sz w:val="22"/>
          <w:szCs w:val="22"/>
        </w:rPr>
        <w:t xml:space="preserve"> particular genomic</w:t>
      </w:r>
      <w:proofErr w:type="gramEnd"/>
      <w:r w:rsidRPr="00B31A82">
        <w:rPr>
          <w:sz w:val="22"/>
          <w:szCs w:val="22"/>
        </w:rPr>
        <w:t xml:space="preserve"> regions and may provide a new layer of prognostic biomarkers in HGSOC (Ewing et al, 2024).</w:t>
      </w: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77777777" w:rsidR="00B402B9" w:rsidRDefault="00B402B9" w:rsidP="00FC22E0">
      <w:pPr>
        <w:jc w:val="both"/>
        <w:rPr>
          <w:sz w:val="22"/>
          <w:szCs w:val="22"/>
        </w:rPr>
      </w:pPr>
    </w:p>
    <w:p w14:paraId="2847F12E" w14:textId="1B835424" w:rsidR="00B402B9" w:rsidRDefault="00B31A82" w:rsidP="00FC22E0">
      <w:pPr>
        <w:jc w:val="both"/>
        <w:rPr>
          <w:sz w:val="22"/>
          <w:szCs w:val="22"/>
        </w:rPr>
      </w:pPr>
      <w:r>
        <w:rPr>
          <w:sz w:val="22"/>
          <w:szCs w:val="22"/>
        </w:rPr>
        <w:t>Computational analyses of WGS and patient survival data from tumour sequencing studies.</w:t>
      </w:r>
    </w:p>
    <w:p w14:paraId="6BD5B96F" w14:textId="77777777" w:rsidR="00FD38A7" w:rsidRPr="00FD38A7" w:rsidRDefault="00FD38A7"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1531ADB3" w14:textId="77777777" w:rsidR="00B31A82" w:rsidRPr="00B31A82" w:rsidRDefault="00B31A82" w:rsidP="00B31A82">
      <w:pPr>
        <w:rPr>
          <w:sz w:val="22"/>
          <w:szCs w:val="22"/>
        </w:rPr>
      </w:pPr>
    </w:p>
    <w:p w14:paraId="2DE175C2" w14:textId="77777777" w:rsidR="00B31A82" w:rsidRPr="00B31A82" w:rsidRDefault="00B31A82" w:rsidP="00B31A82">
      <w:pPr>
        <w:rPr>
          <w:sz w:val="22"/>
          <w:szCs w:val="22"/>
        </w:rPr>
      </w:pPr>
      <w:proofErr w:type="spellStart"/>
      <w:r w:rsidRPr="00B31A82">
        <w:rPr>
          <w:sz w:val="22"/>
          <w:szCs w:val="22"/>
        </w:rPr>
        <w:t>Ailith</w:t>
      </w:r>
      <w:proofErr w:type="spellEnd"/>
      <w:r w:rsidRPr="00B31A82">
        <w:rPr>
          <w:sz w:val="22"/>
          <w:szCs w:val="22"/>
        </w:rPr>
        <w:t xml:space="preserve"> Ewing, Alison </w:t>
      </w:r>
      <w:proofErr w:type="spellStart"/>
      <w:r w:rsidRPr="00B31A82">
        <w:rPr>
          <w:sz w:val="22"/>
          <w:szCs w:val="22"/>
        </w:rPr>
        <w:t>Meynert</w:t>
      </w:r>
      <w:proofErr w:type="spellEnd"/>
      <w:r w:rsidRPr="00B31A82">
        <w:rPr>
          <w:sz w:val="22"/>
          <w:szCs w:val="22"/>
        </w:rPr>
        <w:t xml:space="preserve">, Ryan Silk, Stuart Aitken, Devin P. </w:t>
      </w:r>
      <w:proofErr w:type="spellStart"/>
      <w:r w:rsidRPr="00B31A82">
        <w:rPr>
          <w:sz w:val="22"/>
          <w:szCs w:val="22"/>
        </w:rPr>
        <w:t>Bendixsen</w:t>
      </w:r>
      <w:proofErr w:type="spellEnd"/>
      <w:r w:rsidRPr="00B31A82">
        <w:rPr>
          <w:sz w:val="22"/>
          <w:szCs w:val="22"/>
        </w:rPr>
        <w:t xml:space="preserve">, Michael Churchman, Stuart L. Brown, </w:t>
      </w:r>
      <w:proofErr w:type="spellStart"/>
      <w:r w:rsidRPr="00B31A82">
        <w:rPr>
          <w:sz w:val="22"/>
          <w:szCs w:val="22"/>
        </w:rPr>
        <w:t>Alhafidz</w:t>
      </w:r>
      <w:proofErr w:type="spellEnd"/>
      <w:r w:rsidRPr="00B31A82">
        <w:rPr>
          <w:sz w:val="22"/>
          <w:szCs w:val="22"/>
        </w:rPr>
        <w:t xml:space="preserve"> Hamdan, Joanne Mattocks, Graeme R. Grimes, Tracy Ballinger, Robert L. Hollis, C. Simon Herrington, John P. Thomson, Kitty Sherwood, Thomas Parry, Edward Esiri-Bloom, Clare Bartos, Ian Croy, Michelle Ferguson, Mairi Lennie, Trevor McGoldrick, Neil McPhail, Nadeem Siddiqui, Rosalind Glasspool, Melanie </w:t>
      </w:r>
      <w:proofErr w:type="spellStart"/>
      <w:r w:rsidRPr="00B31A82">
        <w:rPr>
          <w:sz w:val="22"/>
          <w:szCs w:val="22"/>
        </w:rPr>
        <w:t>Mackean</w:t>
      </w:r>
      <w:proofErr w:type="spellEnd"/>
      <w:r w:rsidRPr="00B31A82">
        <w:rPr>
          <w:sz w:val="22"/>
          <w:szCs w:val="22"/>
        </w:rPr>
        <w:t xml:space="preserve">, Fiona </w:t>
      </w:r>
      <w:proofErr w:type="spellStart"/>
      <w:r w:rsidRPr="00B31A82">
        <w:rPr>
          <w:sz w:val="22"/>
          <w:szCs w:val="22"/>
        </w:rPr>
        <w:t>Nussey</w:t>
      </w:r>
      <w:proofErr w:type="spellEnd"/>
      <w:r w:rsidRPr="00B31A82">
        <w:rPr>
          <w:sz w:val="22"/>
          <w:szCs w:val="22"/>
        </w:rPr>
        <w:t xml:space="preserve">, Brian McDade, Darren Ennis, The Scottish Genomes Partnership, Lynn McMahon, Athena </w:t>
      </w:r>
      <w:proofErr w:type="spellStart"/>
      <w:r w:rsidRPr="00B31A82">
        <w:rPr>
          <w:sz w:val="22"/>
          <w:szCs w:val="22"/>
        </w:rPr>
        <w:t>Matakidou</w:t>
      </w:r>
      <w:proofErr w:type="spellEnd"/>
      <w:r w:rsidRPr="00B31A82">
        <w:rPr>
          <w:sz w:val="22"/>
          <w:szCs w:val="22"/>
        </w:rPr>
        <w:t xml:space="preserve">, Brian Dougherty, Ruth March, J. Carl Barrett, Iain A. </w:t>
      </w:r>
      <w:proofErr w:type="spellStart"/>
      <w:r w:rsidRPr="00B31A82">
        <w:rPr>
          <w:sz w:val="22"/>
          <w:szCs w:val="22"/>
        </w:rPr>
        <w:t>McNeish</w:t>
      </w:r>
      <w:proofErr w:type="spellEnd"/>
      <w:r w:rsidRPr="00B31A82">
        <w:rPr>
          <w:sz w:val="22"/>
          <w:szCs w:val="22"/>
        </w:rPr>
        <w:t xml:space="preserve">, Andrew V. </w:t>
      </w:r>
      <w:proofErr w:type="spellStart"/>
      <w:r w:rsidRPr="00B31A82">
        <w:rPr>
          <w:sz w:val="22"/>
          <w:szCs w:val="22"/>
        </w:rPr>
        <w:t>Biankin</w:t>
      </w:r>
      <w:proofErr w:type="spellEnd"/>
      <w:r w:rsidRPr="00B31A82">
        <w:rPr>
          <w:sz w:val="22"/>
          <w:szCs w:val="22"/>
        </w:rPr>
        <w:t xml:space="preserve">, Patricia Roxburgh, Charlie Gourley, Colin A. Semple. 2024. Divergent trajectories to structural diversity impact patient survival in high grade serous ovarian cancer. </w:t>
      </w:r>
      <w:proofErr w:type="spellStart"/>
      <w:r w:rsidRPr="00B31A82">
        <w:rPr>
          <w:sz w:val="22"/>
          <w:szCs w:val="22"/>
        </w:rPr>
        <w:t>bioRxiv</w:t>
      </w:r>
      <w:proofErr w:type="spellEnd"/>
      <w:r w:rsidRPr="00B31A82">
        <w:rPr>
          <w:sz w:val="22"/>
          <w:szCs w:val="22"/>
        </w:rPr>
        <w:t xml:space="preserve"> 2024.01.12.575376; </w:t>
      </w:r>
      <w:proofErr w:type="spellStart"/>
      <w:r w:rsidRPr="00B31A82">
        <w:rPr>
          <w:sz w:val="22"/>
          <w:szCs w:val="22"/>
        </w:rPr>
        <w:t>doi</w:t>
      </w:r>
      <w:proofErr w:type="spellEnd"/>
      <w:r w:rsidRPr="00B31A82">
        <w:rPr>
          <w:sz w:val="22"/>
          <w:szCs w:val="22"/>
        </w:rPr>
        <w:t>: https://doi.org/10.1101/2024.01.12.575376</w:t>
      </w:r>
    </w:p>
    <w:p w14:paraId="3D6F6320" w14:textId="77777777" w:rsidR="00B31A82" w:rsidRPr="00B31A82" w:rsidRDefault="00B31A82" w:rsidP="00B31A82">
      <w:pPr>
        <w:rPr>
          <w:sz w:val="22"/>
          <w:szCs w:val="22"/>
        </w:rPr>
      </w:pPr>
    </w:p>
    <w:p w14:paraId="753A9FAF" w14:textId="77777777" w:rsidR="00B31A82" w:rsidRPr="00B31A82" w:rsidRDefault="00B31A82" w:rsidP="00B31A82">
      <w:pPr>
        <w:rPr>
          <w:sz w:val="22"/>
          <w:szCs w:val="22"/>
        </w:rPr>
      </w:pPr>
      <w:r w:rsidRPr="00B31A82">
        <w:rPr>
          <w:sz w:val="22"/>
          <w:szCs w:val="22"/>
        </w:rPr>
        <w:t xml:space="preserve">Hamdan A, Ewing A. 2022. Unravelling the tumour genome: The evolutionary and clinical impacts of structural variants in </w:t>
      </w:r>
      <w:proofErr w:type="spellStart"/>
      <w:r w:rsidRPr="00B31A82">
        <w:rPr>
          <w:sz w:val="22"/>
          <w:szCs w:val="22"/>
        </w:rPr>
        <w:t>tumourigenesis</w:t>
      </w:r>
      <w:proofErr w:type="spellEnd"/>
      <w:r w:rsidRPr="00B31A82">
        <w:rPr>
          <w:sz w:val="22"/>
          <w:szCs w:val="22"/>
        </w:rPr>
        <w:t xml:space="preserve">. J </w:t>
      </w:r>
      <w:proofErr w:type="spellStart"/>
      <w:r w:rsidRPr="00B31A82">
        <w:rPr>
          <w:sz w:val="22"/>
          <w:szCs w:val="22"/>
        </w:rPr>
        <w:t>Pathol</w:t>
      </w:r>
      <w:proofErr w:type="spellEnd"/>
      <w:r w:rsidRPr="00B31A82">
        <w:rPr>
          <w:sz w:val="22"/>
          <w:szCs w:val="22"/>
        </w:rPr>
        <w:t xml:space="preserve"> 257(4):479-493.</w:t>
      </w:r>
    </w:p>
    <w:p w14:paraId="650CED57" w14:textId="77777777" w:rsidR="00B31A82" w:rsidRPr="00B31A82" w:rsidRDefault="00B31A82" w:rsidP="00B31A82">
      <w:pPr>
        <w:rPr>
          <w:sz w:val="22"/>
          <w:szCs w:val="22"/>
        </w:rPr>
      </w:pPr>
    </w:p>
    <w:p w14:paraId="3BFA0AAE" w14:textId="77777777" w:rsidR="00B31A82" w:rsidRPr="00B31A82" w:rsidRDefault="00B31A82" w:rsidP="00B31A82">
      <w:pPr>
        <w:rPr>
          <w:sz w:val="22"/>
          <w:szCs w:val="22"/>
        </w:rPr>
      </w:pPr>
      <w:r w:rsidRPr="00B31A82">
        <w:rPr>
          <w:sz w:val="22"/>
          <w:szCs w:val="22"/>
        </w:rPr>
        <w:t xml:space="preserve">Houlahan, K.E., </w:t>
      </w:r>
      <w:proofErr w:type="spellStart"/>
      <w:r w:rsidRPr="00B31A82">
        <w:rPr>
          <w:sz w:val="22"/>
          <w:szCs w:val="22"/>
        </w:rPr>
        <w:t>Mangiante</w:t>
      </w:r>
      <w:proofErr w:type="spellEnd"/>
      <w:r w:rsidRPr="00B31A82">
        <w:rPr>
          <w:sz w:val="22"/>
          <w:szCs w:val="22"/>
        </w:rPr>
        <w:t>, L., Sotomayor-Vivas, C. et al. 2025. Complex rearrangements fuel ER+ and HER2+ breast tumours. Nature 638: 510–518.</w:t>
      </w:r>
    </w:p>
    <w:p w14:paraId="02789A85" w14:textId="77777777" w:rsidR="00B31A82" w:rsidRPr="00B31A82" w:rsidRDefault="00B31A82" w:rsidP="00B31A82">
      <w:pPr>
        <w:rPr>
          <w:sz w:val="22"/>
          <w:szCs w:val="22"/>
        </w:rPr>
      </w:pPr>
    </w:p>
    <w:p w14:paraId="6F539C86" w14:textId="67CC839B" w:rsidR="0007041D" w:rsidRDefault="00B31A82" w:rsidP="00B31A82">
      <w:pPr>
        <w:rPr>
          <w:sz w:val="22"/>
          <w:szCs w:val="22"/>
        </w:rPr>
      </w:pPr>
      <w:proofErr w:type="spellStart"/>
      <w:r w:rsidRPr="00B31A82">
        <w:rPr>
          <w:sz w:val="22"/>
          <w:szCs w:val="22"/>
        </w:rPr>
        <w:t>Sosinsky</w:t>
      </w:r>
      <w:proofErr w:type="spellEnd"/>
      <w:r w:rsidRPr="00B31A82">
        <w:rPr>
          <w:sz w:val="22"/>
          <w:szCs w:val="22"/>
        </w:rPr>
        <w:t xml:space="preserve">, A., Ambrose, J., Cross, W. et al. 2024. Insights for precision oncology from the integration of genomic and clinical data of 13,880 </w:t>
      </w:r>
      <w:proofErr w:type="spellStart"/>
      <w:r w:rsidRPr="00B31A82">
        <w:rPr>
          <w:sz w:val="22"/>
          <w:szCs w:val="22"/>
        </w:rPr>
        <w:t>tumors</w:t>
      </w:r>
      <w:proofErr w:type="spellEnd"/>
      <w:r w:rsidRPr="00B31A82">
        <w:rPr>
          <w:sz w:val="22"/>
          <w:szCs w:val="22"/>
        </w:rPr>
        <w:t xml:space="preserve"> from the 100,000 Genomes Cancer Programme. Nat Med 30: 279–289.</w:t>
      </w:r>
    </w:p>
    <w:p w14:paraId="5F96BC55" w14:textId="77777777" w:rsidR="003C75B0" w:rsidRDefault="003C75B0" w:rsidP="00B31A82">
      <w:pPr>
        <w:rPr>
          <w:sz w:val="22"/>
          <w:szCs w:val="22"/>
        </w:rPr>
      </w:pPr>
    </w:p>
    <w:p w14:paraId="5BEB86D9" w14:textId="77777777" w:rsidR="003C75B0" w:rsidRPr="0007041D" w:rsidRDefault="003C75B0" w:rsidP="00B31A82">
      <w:pPr>
        <w:rPr>
          <w:sz w:val="22"/>
          <w:szCs w:val="22"/>
        </w:rPr>
      </w:pPr>
    </w:p>
    <w:sectPr w:rsidR="003C75B0"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linGothic-Heavy">
    <w:panose1 w:val="020B0604020202020204"/>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32369639">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447704903">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3" w16cid:durableId="15846097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85C54"/>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C75B0"/>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B6E44"/>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B395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9183B"/>
    <w:rsid w:val="007B1387"/>
    <w:rsid w:val="007B3DB6"/>
    <w:rsid w:val="007E1B8D"/>
    <w:rsid w:val="00806088"/>
    <w:rsid w:val="008234BB"/>
    <w:rsid w:val="00830F86"/>
    <w:rsid w:val="00834F66"/>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A284E"/>
    <w:rsid w:val="00AC0FF1"/>
    <w:rsid w:val="00AC6F46"/>
    <w:rsid w:val="00AF1722"/>
    <w:rsid w:val="00B044A3"/>
    <w:rsid w:val="00B26EB5"/>
    <w:rsid w:val="00B30596"/>
    <w:rsid w:val="00B31A82"/>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82783"/>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B31A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nstitute-genetics-cancer.ed.ac.uk/research/research-groups-a-z/gourley-group" TargetMode="Externa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stitute-genetics-cancer.ed.ac.uk/research/research-groups-a-z/semple-group" TargetMode="External"/><Relationship Id="rId11" Type="http://schemas.openxmlformats.org/officeDocument/2006/relationships/customXml" Target="../customXml/item2.xml"/><Relationship Id="rId5" Type="http://schemas.openxmlformats.org/officeDocument/2006/relationships/image" Target="media/image1.jpeg"/><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F7063C7-3C81-40CE-94B5-60505FB88A05}"/>
</file>

<file path=customXml/itemProps2.xml><?xml version="1.0" encoding="utf-8"?>
<ds:datastoreItem xmlns:ds="http://schemas.openxmlformats.org/officeDocument/2006/customXml" ds:itemID="{2AA4FAA2-3ECE-4192-9CD4-CC7165F2B6AA}"/>
</file>

<file path=customXml/itemProps3.xml><?xml version="1.0" encoding="utf-8"?>
<ds:datastoreItem xmlns:ds="http://schemas.openxmlformats.org/officeDocument/2006/customXml" ds:itemID="{9EB1174B-1F06-4338-9274-252A4657F744}"/>
</file>

<file path=docProps/app.xml><?xml version="1.0" encoding="utf-8"?>
<Properties xmlns="http://schemas.openxmlformats.org/officeDocument/2006/extended-properties" xmlns:vt="http://schemas.openxmlformats.org/officeDocument/2006/docPropsVTypes">
  <Template>Normal.dotm</Template>
  <TotalTime>8</TotalTime>
  <Pages>2</Pages>
  <Words>758</Words>
  <Characters>4321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Colin Semple</cp:lastModifiedBy>
  <cp:revision>5</cp:revision>
  <dcterms:created xsi:type="dcterms:W3CDTF">2025-02-26T10:12:00Z</dcterms:created>
  <dcterms:modified xsi:type="dcterms:W3CDTF">2025-02-26T10:17:00Z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