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0F302B" w14:textId="4EDDA214" w:rsidR="00FD38A7" w:rsidRDefault="00FD38A7" w:rsidP="00FC22E0">
      <w:pPr>
        <w:jc w:val="both"/>
        <w:rPr>
          <w:b/>
          <w:bCs/>
          <w:sz w:val="22"/>
          <w:szCs w:val="22"/>
        </w:rPr>
      </w:pPr>
      <w:r>
        <w:rPr>
          <w:noProof/>
          <w:lang w:eastAsia="en-GB"/>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0B4B82A5" w14:textId="64950CB3" w:rsidR="003B7946" w:rsidRPr="003B7946" w:rsidRDefault="003B7946" w:rsidP="00FC22E0">
      <w:pPr>
        <w:jc w:val="both"/>
        <w:rPr>
          <w:b/>
          <w:bCs/>
          <w:sz w:val="22"/>
          <w:szCs w:val="22"/>
        </w:rPr>
      </w:pPr>
      <w:r w:rsidRPr="003B7946">
        <w:rPr>
          <w:b/>
          <w:bCs/>
          <w:sz w:val="22"/>
          <w:szCs w:val="22"/>
        </w:rPr>
        <w:t>TRACC</w:t>
      </w:r>
      <w:r w:rsidR="0077343C">
        <w:rPr>
          <w:b/>
          <w:bCs/>
          <w:sz w:val="22"/>
          <w:szCs w:val="22"/>
        </w:rPr>
        <w:t>+</w:t>
      </w:r>
      <w:r w:rsidRPr="003B7946">
        <w:rPr>
          <w:b/>
          <w:bCs/>
          <w:sz w:val="22"/>
          <w:szCs w:val="22"/>
        </w:rPr>
        <w:t xml:space="preserve"> MB-PhD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7C747943" w14:textId="3E9917A9" w:rsidR="004555C8" w:rsidRPr="004555C8" w:rsidRDefault="00F071A1" w:rsidP="003B7946">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TRACC</w:t>
      </w:r>
      <w:r w:rsidR="0077343C">
        <w:rPr>
          <w:rFonts w:ascii="Calibri" w:eastAsia="Times New Roman" w:hAnsi="Calibri" w:cs="FranklinGothic-Heavy"/>
          <w:sz w:val="22"/>
          <w:szCs w:val="22"/>
          <w:lang w:eastAsia="en-GB"/>
        </w:rPr>
        <w:t>+</w:t>
      </w:r>
      <w:r w:rsidRPr="003B7946">
        <w:rPr>
          <w:rFonts w:ascii="Calibri" w:eastAsia="Times New Roman" w:hAnsi="Calibri" w:cs="FranklinGothic-Heavy"/>
          <w:sz w:val="22"/>
          <w:szCs w:val="22"/>
          <w:lang w:eastAsia="en-GB"/>
        </w:rPr>
        <w:t xml:space="preserve"> (to </w:t>
      </w:r>
      <w:r w:rsidRPr="0077343C">
        <w:rPr>
          <w:rFonts w:ascii="Calibri" w:eastAsia="Times New Roman" w:hAnsi="Calibri" w:cs="FranklinGothic-Heavy"/>
          <w:b/>
          <w:bCs/>
          <w:sz w:val="22"/>
          <w:szCs w:val="22"/>
          <w:lang w:eastAsia="en-GB"/>
        </w:rPr>
        <w:t>T</w:t>
      </w:r>
      <w:r w:rsidRPr="003B7946">
        <w:rPr>
          <w:rFonts w:ascii="Calibri" w:eastAsia="Times New Roman" w:hAnsi="Calibri" w:cs="FranklinGothic-Heavy"/>
          <w:sz w:val="22"/>
          <w:szCs w:val="22"/>
          <w:lang w:eastAsia="en-GB"/>
        </w:rPr>
        <w:t xml:space="preserve">rain and </w:t>
      </w:r>
      <w:r w:rsidRPr="0077343C">
        <w:rPr>
          <w:rFonts w:ascii="Calibri" w:eastAsia="Times New Roman" w:hAnsi="Calibri" w:cs="FranklinGothic-Heavy"/>
          <w:b/>
          <w:bCs/>
          <w:sz w:val="22"/>
          <w:szCs w:val="22"/>
          <w:lang w:eastAsia="en-GB"/>
        </w:rPr>
        <w:t>R</w:t>
      </w:r>
      <w:r w:rsidRPr="003B7946">
        <w:rPr>
          <w:rFonts w:ascii="Calibri" w:eastAsia="Times New Roman" w:hAnsi="Calibri" w:cs="FranklinGothic-Heavy"/>
          <w:sz w:val="22"/>
          <w:szCs w:val="22"/>
          <w:lang w:eastAsia="en-GB"/>
        </w:rPr>
        <w:t xml:space="preserve">etain </w:t>
      </w:r>
      <w:r w:rsidRPr="0077343C">
        <w:rPr>
          <w:rFonts w:ascii="Calibri" w:eastAsia="Times New Roman" w:hAnsi="Calibri" w:cs="FranklinGothic-Heavy"/>
          <w:b/>
          <w:bCs/>
          <w:sz w:val="22"/>
          <w:szCs w:val="22"/>
          <w:lang w:eastAsia="en-GB"/>
        </w:rPr>
        <w:t>A</w:t>
      </w:r>
      <w:r w:rsidRPr="003B7946">
        <w:rPr>
          <w:rFonts w:ascii="Calibri" w:eastAsia="Times New Roman" w:hAnsi="Calibri" w:cs="FranklinGothic-Heavy"/>
          <w:sz w:val="22"/>
          <w:szCs w:val="22"/>
          <w:lang w:eastAsia="en-GB"/>
        </w:rPr>
        <w:t xml:space="preserve">cademic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 xml:space="preserve">ancer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linicians</w:t>
      </w:r>
      <w:r w:rsidR="0077343C">
        <w:rPr>
          <w:rFonts w:ascii="Calibri" w:eastAsia="Times New Roman" w:hAnsi="Calibri" w:cs="FranklinGothic-Heavy"/>
          <w:sz w:val="22"/>
          <w:szCs w:val="22"/>
          <w:lang w:eastAsia="en-GB"/>
        </w:rPr>
        <w:t xml:space="preserve"> Plus</w:t>
      </w:r>
      <w:r w:rsidRPr="003B7946">
        <w:rPr>
          <w:rFonts w:ascii="Calibri" w:eastAsia="Times New Roman" w:hAnsi="Calibri" w:cs="FranklinGothic-Heavy"/>
          <w:sz w:val="22"/>
          <w:szCs w:val="22"/>
          <w:lang w:eastAsia="en-GB"/>
        </w:rPr>
        <w:t xml:space="preserve">)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p>
    <w:p w14:paraId="40E4BB52" w14:textId="77777777" w:rsidR="00F071A1" w:rsidRPr="003B7946" w:rsidRDefault="00F071A1" w:rsidP="00FC22E0">
      <w:pPr>
        <w:jc w:val="both"/>
        <w:rPr>
          <w:b/>
          <w:bCs/>
          <w:sz w:val="22"/>
          <w:szCs w:val="22"/>
        </w:rPr>
      </w:pPr>
    </w:p>
    <w:p w14:paraId="3A8D03D4" w14:textId="6CD50C41" w:rsidR="00B402B9" w:rsidRPr="003B7946" w:rsidRDefault="004555C8" w:rsidP="00FC22E0">
      <w:pPr>
        <w:jc w:val="both"/>
        <w:rPr>
          <w:bCs/>
          <w:sz w:val="22"/>
          <w:szCs w:val="22"/>
        </w:rPr>
      </w:pPr>
      <w:r>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4ED8B51B" w:rsidR="00C91D53" w:rsidRDefault="00B402B9" w:rsidP="00FC22E0">
      <w:pPr>
        <w:jc w:val="both"/>
        <w:rPr>
          <w:b/>
          <w:bCs/>
          <w:sz w:val="22"/>
          <w:szCs w:val="22"/>
        </w:rPr>
      </w:pPr>
      <w:r>
        <w:rPr>
          <w:b/>
          <w:bCs/>
          <w:sz w:val="22"/>
          <w:szCs w:val="22"/>
        </w:rPr>
        <w:t xml:space="preserve"> </w:t>
      </w:r>
    </w:p>
    <w:p w14:paraId="702183E5" w14:textId="1EE1093B" w:rsidR="00A40DCB" w:rsidRPr="00FD38A7"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r w:rsidR="009B730B" w:rsidRPr="00E63A59">
        <w:rPr>
          <w:b/>
        </w:rPr>
        <w:t xml:space="preserve">Dissecting the role of </w:t>
      </w:r>
      <w:proofErr w:type="spellStart"/>
      <w:r w:rsidR="009B730B" w:rsidRPr="00E63A59">
        <w:rPr>
          <w:b/>
        </w:rPr>
        <w:t>Activin</w:t>
      </w:r>
      <w:proofErr w:type="spellEnd"/>
      <w:r w:rsidR="009B730B" w:rsidRPr="00E63A59">
        <w:rPr>
          <w:b/>
        </w:rPr>
        <w:t xml:space="preserve"> signalling in Pancreatic Ductal Adenocarcinoma</w:t>
      </w:r>
    </w:p>
    <w:p w14:paraId="02B5E658" w14:textId="2C46F7CB" w:rsidR="00A40DCB" w:rsidRDefault="00A40DCB" w:rsidP="00FC22E0">
      <w:pPr>
        <w:jc w:val="both"/>
        <w:rPr>
          <w:b/>
          <w:bCs/>
          <w:sz w:val="22"/>
          <w:szCs w:val="22"/>
        </w:rPr>
      </w:pPr>
    </w:p>
    <w:p w14:paraId="490DCE97" w14:textId="7D97E993" w:rsidR="009B730B" w:rsidRPr="00E43BD1" w:rsidRDefault="002E79A8" w:rsidP="009B730B">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r w:rsidR="00C92CA8" w:rsidRPr="00E63A59">
        <w:rPr>
          <w:b/>
          <w:bCs/>
          <w:sz w:val="22"/>
          <w:szCs w:val="22"/>
        </w:rPr>
        <w:t xml:space="preserve">Professor Jennifer Morton (CRUK Scotland Institute), </w:t>
      </w:r>
      <w:r w:rsidR="009B730B" w:rsidRPr="00E63A59">
        <w:rPr>
          <w:b/>
          <w:bCs/>
          <w:sz w:val="22"/>
          <w:szCs w:val="22"/>
        </w:rPr>
        <w:t>Prof</w:t>
      </w:r>
      <w:r w:rsidR="009B730B" w:rsidRPr="00E63A59">
        <w:rPr>
          <w:b/>
          <w:bCs/>
          <w:sz w:val="22"/>
          <w:szCs w:val="22"/>
        </w:rPr>
        <w:t>essor Gareth Inman (CRUK Scotland</w:t>
      </w:r>
      <w:r w:rsidR="009B730B" w:rsidRPr="00E63A59">
        <w:rPr>
          <w:b/>
          <w:bCs/>
          <w:sz w:val="22"/>
          <w:szCs w:val="22"/>
        </w:rPr>
        <w:t xml:space="preserve"> Institute)</w:t>
      </w:r>
      <w:r w:rsidR="009B730B" w:rsidRPr="00E63A59">
        <w:rPr>
          <w:b/>
          <w:bCs/>
          <w:sz w:val="22"/>
          <w:szCs w:val="22"/>
        </w:rPr>
        <w:t xml:space="preserve">, </w:t>
      </w:r>
      <w:r w:rsidR="009B730B" w:rsidRPr="00E63A59">
        <w:rPr>
          <w:b/>
          <w:bCs/>
          <w:sz w:val="22"/>
          <w:szCs w:val="22"/>
        </w:rPr>
        <w:t xml:space="preserve">Dr Alan Serrels (Centre for Inflammation Research, University of Edinburgh), </w:t>
      </w:r>
    </w:p>
    <w:p w14:paraId="3F937E34" w14:textId="77777777" w:rsidR="00E43BD1" w:rsidRDefault="00E43BD1" w:rsidP="00FC22E0">
      <w:pPr>
        <w:jc w:val="both"/>
        <w:rPr>
          <w:bCs/>
          <w:i/>
          <w:sz w:val="22"/>
          <w:szCs w:val="22"/>
        </w:rPr>
      </w:pPr>
    </w:p>
    <w:p w14:paraId="31529679" w14:textId="7C37A3E8" w:rsidR="00A40DCB" w:rsidRPr="00E63A59" w:rsidRDefault="00A40DCB" w:rsidP="00FC22E0">
      <w:pPr>
        <w:jc w:val="both"/>
        <w:rPr>
          <w:b/>
          <w:bCs/>
          <w:color w:val="0070C0"/>
          <w:sz w:val="22"/>
          <w:szCs w:val="22"/>
        </w:rPr>
      </w:pPr>
      <w:r w:rsidRPr="00FD38A7">
        <w:rPr>
          <w:b/>
          <w:bCs/>
          <w:sz w:val="22"/>
          <w:szCs w:val="22"/>
        </w:rPr>
        <w:t xml:space="preserve">Lab </w:t>
      </w:r>
      <w:r w:rsidR="00806088">
        <w:rPr>
          <w:b/>
          <w:bCs/>
          <w:sz w:val="22"/>
          <w:szCs w:val="22"/>
        </w:rPr>
        <w:t>w</w:t>
      </w:r>
      <w:r w:rsidRPr="00FD38A7">
        <w:rPr>
          <w:b/>
          <w:bCs/>
          <w:sz w:val="22"/>
          <w:szCs w:val="22"/>
        </w:rPr>
        <w:t>ebsites:</w:t>
      </w:r>
      <w:r w:rsidR="00C92CA8" w:rsidRPr="00C92CA8">
        <w:t xml:space="preserve"> </w:t>
      </w:r>
      <w:hyperlink r:id="rId6" w:history="1">
        <w:r w:rsidR="00C92CA8" w:rsidRPr="00E63A59">
          <w:rPr>
            <w:rStyle w:val="Hyperlink"/>
            <w:b/>
            <w:bCs/>
            <w:color w:val="0070C0"/>
            <w:sz w:val="22"/>
            <w:szCs w:val="22"/>
          </w:rPr>
          <w:t>https://www.crukscotlandinstitute.ac.uk/cruk-si-research/cruk-si-research-groups/jennifer-morton-preclinical-prancreatic-cancer.html</w:t>
        </w:r>
      </w:hyperlink>
    </w:p>
    <w:p w14:paraId="28E798CE" w14:textId="6CBE2782" w:rsidR="00C92CA8" w:rsidRPr="00E63A59" w:rsidRDefault="00C92CA8" w:rsidP="00FC22E0">
      <w:pPr>
        <w:jc w:val="both"/>
        <w:rPr>
          <w:b/>
          <w:bCs/>
          <w:color w:val="0070C0"/>
          <w:sz w:val="22"/>
          <w:szCs w:val="22"/>
        </w:rPr>
      </w:pPr>
      <w:r w:rsidRPr="00E63A59">
        <w:rPr>
          <w:b/>
          <w:bCs/>
          <w:color w:val="0070C0"/>
          <w:sz w:val="22"/>
          <w:szCs w:val="22"/>
        </w:rPr>
        <w:t>https://www.crukscotlandinstitute.ac.uk/cruk-si-research/cruk-si-research-groups/gareth-inman-growth-factor-signalling-and-squamous-cancers.html</w:t>
      </w:r>
    </w:p>
    <w:p w14:paraId="0F3FB8CA" w14:textId="29EBD1E4" w:rsidR="00C92CA8" w:rsidRPr="00E63A59" w:rsidRDefault="00C92CA8" w:rsidP="00FC22E0">
      <w:pPr>
        <w:jc w:val="both"/>
        <w:rPr>
          <w:b/>
          <w:bCs/>
          <w:color w:val="0070C0"/>
          <w:sz w:val="22"/>
          <w:szCs w:val="22"/>
        </w:rPr>
      </w:pPr>
      <w:r w:rsidRPr="00E63A59">
        <w:rPr>
          <w:b/>
          <w:bCs/>
          <w:color w:val="0070C0"/>
          <w:sz w:val="22"/>
          <w:szCs w:val="22"/>
        </w:rPr>
        <w:t>https://www.ed.ac.uk/cancer-centre/research/a-serrels-group</w:t>
      </w:r>
    </w:p>
    <w:p w14:paraId="1DB5F6B9" w14:textId="77777777" w:rsidR="00A40DCB" w:rsidRDefault="00A40DCB" w:rsidP="00FC22E0">
      <w:pPr>
        <w:jc w:val="both"/>
        <w:rPr>
          <w:sz w:val="22"/>
          <w:szCs w:val="22"/>
        </w:rPr>
      </w:pPr>
    </w:p>
    <w:p w14:paraId="6EC077B0" w14:textId="47E8ABB5"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6C5363A7" w14:textId="77777777" w:rsidR="00A40DCB" w:rsidRDefault="00A40DCB" w:rsidP="00FC22E0">
      <w:pPr>
        <w:jc w:val="both"/>
        <w:rPr>
          <w:sz w:val="22"/>
          <w:szCs w:val="22"/>
        </w:rPr>
      </w:pPr>
    </w:p>
    <w:p w14:paraId="6332C830" w14:textId="77777777" w:rsidR="00C92CA8" w:rsidRPr="004B1B95" w:rsidRDefault="00C92CA8" w:rsidP="00C92CA8">
      <w:pPr>
        <w:jc w:val="both"/>
        <w:rPr>
          <w:rFonts w:eastAsia="Times New Roman" w:cstheme="minorHAnsi"/>
          <w:kern w:val="36"/>
          <w:lang w:eastAsia="en-GB"/>
        </w:rPr>
      </w:pPr>
      <w:r w:rsidRPr="004B1B95">
        <w:rPr>
          <w:rFonts w:eastAsia="Times New Roman" w:cstheme="minorHAnsi"/>
          <w:kern w:val="36"/>
          <w:lang w:eastAsia="en-GB"/>
        </w:rPr>
        <w:t>Pancreatic ductal adenocarcinoma (PDAC) is currently the fourth leading cause of cancer associated mortality with &lt;7% patients surviving for 5 years following diagnosis. This dismal prognosis is associated with late diagnosis, poor patient responsiveness to chemotherapy and a complex heterogeneous tumour microenvironment (TME) with low levels of immune infiltrates. Comprehensive molecular profiling studies have revealed common genetic driver events and have enabled tumour subtyping based on gene expression and mutational profiles whilst also elucidated signalling pathways frequently modulated during disease progression</w:t>
      </w:r>
      <w:r>
        <w:rPr>
          <w:rFonts w:eastAsia="Times New Roman" w:cstheme="minorHAnsi"/>
          <w:kern w:val="36"/>
          <w:lang w:eastAsia="en-GB"/>
        </w:rPr>
        <w:t xml:space="preserve"> (1</w:t>
      </w:r>
      <w:r w:rsidRPr="004B1B95">
        <w:rPr>
          <w:rFonts w:eastAsia="Times New Roman" w:cstheme="minorHAnsi"/>
          <w:kern w:val="36"/>
          <w:lang w:eastAsia="en-GB"/>
        </w:rPr>
        <w:t>).</w:t>
      </w:r>
    </w:p>
    <w:p w14:paraId="2E36CB8E" w14:textId="77777777" w:rsidR="00C92CA8" w:rsidRPr="004B1B95" w:rsidRDefault="00C92CA8" w:rsidP="00C92CA8">
      <w:pPr>
        <w:jc w:val="both"/>
        <w:rPr>
          <w:rFonts w:eastAsia="Times New Roman" w:cstheme="minorHAnsi"/>
          <w:kern w:val="36"/>
          <w:lang w:eastAsia="en-GB"/>
        </w:rPr>
      </w:pPr>
    </w:p>
    <w:p w14:paraId="072BD291" w14:textId="77777777" w:rsidR="00C92CA8" w:rsidRPr="004B1B95" w:rsidRDefault="00C92CA8" w:rsidP="00C92CA8">
      <w:pPr>
        <w:jc w:val="both"/>
        <w:rPr>
          <w:rFonts w:cstheme="minorHAnsi"/>
          <w:i/>
          <w:iCs/>
          <w:sz w:val="22"/>
          <w:szCs w:val="22"/>
        </w:rPr>
      </w:pPr>
      <w:r w:rsidRPr="004B1B95">
        <w:rPr>
          <w:rFonts w:eastAsia="Times New Roman" w:cstheme="minorHAnsi"/>
          <w:kern w:val="36"/>
          <w:lang w:eastAsia="en-GB"/>
        </w:rPr>
        <w:t>The transforming growth factor beta (TGF</w:t>
      </w:r>
      <w:r>
        <w:rPr>
          <w:rFonts w:eastAsia="Times New Roman" w:cstheme="minorHAnsi"/>
          <w:kern w:val="36"/>
          <w:lang w:eastAsia="en-GB"/>
        </w:rPr>
        <w:t>β</w:t>
      </w:r>
      <w:r w:rsidRPr="004B1B95">
        <w:rPr>
          <w:rFonts w:eastAsia="Times New Roman" w:cstheme="minorHAnsi"/>
          <w:kern w:val="36"/>
          <w:lang w:eastAsia="en-GB"/>
        </w:rPr>
        <w:t xml:space="preserve">) superfamily comprises over 30 related dimeric polypeptide cytokines including the bone morphogenetic proteins (BMPs) the growth and differentiation factors (GDFs), </w:t>
      </w:r>
      <w:proofErr w:type="spellStart"/>
      <w:r w:rsidRPr="004B1B95">
        <w:rPr>
          <w:rFonts w:eastAsia="Times New Roman" w:cstheme="minorHAnsi"/>
          <w:kern w:val="36"/>
          <w:lang w:eastAsia="en-GB"/>
        </w:rPr>
        <w:t>activins</w:t>
      </w:r>
      <w:proofErr w:type="spellEnd"/>
      <w:r w:rsidRPr="004B1B95">
        <w:rPr>
          <w:rFonts w:eastAsia="Times New Roman" w:cstheme="minorHAnsi"/>
          <w:kern w:val="36"/>
          <w:lang w:eastAsia="en-GB"/>
        </w:rPr>
        <w:t xml:space="preserve">, </w:t>
      </w:r>
      <w:proofErr w:type="spellStart"/>
      <w:r w:rsidRPr="004B1B95">
        <w:rPr>
          <w:rFonts w:eastAsia="Times New Roman" w:cstheme="minorHAnsi"/>
          <w:kern w:val="36"/>
          <w:lang w:eastAsia="en-GB"/>
        </w:rPr>
        <w:t>inhibins</w:t>
      </w:r>
      <w:proofErr w:type="spellEnd"/>
      <w:r w:rsidRPr="004B1B95">
        <w:rPr>
          <w:rFonts w:eastAsia="Times New Roman" w:cstheme="minorHAnsi"/>
          <w:kern w:val="36"/>
          <w:lang w:eastAsia="en-GB"/>
        </w:rPr>
        <w:t>, nodal and the TGF</w:t>
      </w:r>
      <w:r>
        <w:rPr>
          <w:rFonts w:eastAsia="Times New Roman" w:cstheme="minorHAnsi"/>
          <w:kern w:val="36"/>
          <w:lang w:eastAsia="en-GB"/>
        </w:rPr>
        <w:t>β</w:t>
      </w:r>
      <w:r w:rsidRPr="004B1B95">
        <w:rPr>
          <w:rFonts w:eastAsia="Times New Roman" w:cstheme="minorHAnsi"/>
          <w:kern w:val="36"/>
          <w:lang w:eastAsia="en-GB"/>
        </w:rPr>
        <w:t xml:space="preserve">s. These factors play fundamental roles during development and in adult tissue homeostasis and can exhibit profound paradoxical roles in </w:t>
      </w:r>
      <w:proofErr w:type="spellStart"/>
      <w:r w:rsidRPr="004B1B95">
        <w:rPr>
          <w:rFonts w:eastAsia="Times New Roman" w:cstheme="minorHAnsi"/>
          <w:kern w:val="36"/>
          <w:lang w:eastAsia="en-GB"/>
        </w:rPr>
        <w:t>tumourigenesis</w:t>
      </w:r>
      <w:proofErr w:type="spellEnd"/>
      <w:r w:rsidRPr="004B1B95">
        <w:rPr>
          <w:rFonts w:eastAsia="Times New Roman" w:cstheme="minorHAnsi"/>
          <w:kern w:val="36"/>
          <w:lang w:eastAsia="en-GB"/>
        </w:rPr>
        <w:t xml:space="preserve"> acting as powerful tumour suppressors or tumour promoters in a context dependant manner. The role of TGF</w:t>
      </w:r>
      <w:r>
        <w:rPr>
          <w:rFonts w:eastAsia="Times New Roman" w:cstheme="minorHAnsi"/>
          <w:kern w:val="36"/>
          <w:lang w:eastAsia="en-GB"/>
        </w:rPr>
        <w:t>β</w:t>
      </w:r>
      <w:r w:rsidRPr="004B1B95">
        <w:rPr>
          <w:rFonts w:eastAsia="Times New Roman" w:cstheme="minorHAnsi"/>
          <w:kern w:val="36"/>
          <w:lang w:eastAsia="en-GB"/>
        </w:rPr>
        <w:t xml:space="preserve"> family signalling in PDAC is particularly striking with ~50% of tumours displaying significant genetic alteration of key signalling components including the TGF</w:t>
      </w:r>
      <w:r>
        <w:rPr>
          <w:rFonts w:eastAsia="Times New Roman" w:cstheme="minorHAnsi"/>
          <w:kern w:val="36"/>
          <w:lang w:eastAsia="en-GB"/>
        </w:rPr>
        <w:t>β</w:t>
      </w:r>
      <w:r w:rsidRPr="004B1B95">
        <w:rPr>
          <w:rFonts w:eastAsia="Times New Roman" w:cstheme="minorHAnsi"/>
          <w:kern w:val="36"/>
          <w:lang w:eastAsia="en-GB"/>
        </w:rPr>
        <w:t xml:space="preserve"> growth factor receptors TGFBR2, TGFBR1, the </w:t>
      </w:r>
      <w:proofErr w:type="spellStart"/>
      <w:r w:rsidRPr="004B1B95">
        <w:rPr>
          <w:rFonts w:eastAsia="Times New Roman" w:cstheme="minorHAnsi"/>
          <w:kern w:val="36"/>
          <w:lang w:eastAsia="en-GB"/>
        </w:rPr>
        <w:t>activin</w:t>
      </w:r>
      <w:proofErr w:type="spellEnd"/>
      <w:r w:rsidRPr="004B1B95">
        <w:rPr>
          <w:rFonts w:eastAsia="Times New Roman" w:cstheme="minorHAnsi"/>
          <w:kern w:val="36"/>
          <w:lang w:eastAsia="en-GB"/>
        </w:rPr>
        <w:t xml:space="preserve"> receptors ACVR2a, ACVR2b, ACVR1b and the common downstream signalling mediator SMAD4 (</w:t>
      </w:r>
      <w:proofErr w:type="spellStart"/>
      <w:r w:rsidRPr="004B1B95">
        <w:rPr>
          <w:rFonts w:eastAsia="Times New Roman" w:cstheme="minorHAnsi"/>
          <w:kern w:val="36"/>
          <w:lang w:eastAsia="en-GB"/>
        </w:rPr>
        <w:t>Cbioportal</w:t>
      </w:r>
      <w:proofErr w:type="spellEnd"/>
      <w:r w:rsidRPr="004B1B95">
        <w:rPr>
          <w:rFonts w:eastAsia="Times New Roman" w:cstheme="minorHAnsi"/>
          <w:kern w:val="36"/>
          <w:lang w:eastAsia="en-GB"/>
        </w:rPr>
        <w:t xml:space="preserve">). Paradoxically elevated levels of </w:t>
      </w:r>
      <w:proofErr w:type="spellStart"/>
      <w:r w:rsidRPr="004B1B95">
        <w:rPr>
          <w:rFonts w:eastAsia="Times New Roman" w:cstheme="minorHAnsi"/>
          <w:kern w:val="36"/>
          <w:lang w:eastAsia="en-GB"/>
        </w:rPr>
        <w:t>activin</w:t>
      </w:r>
      <w:proofErr w:type="spellEnd"/>
      <w:r w:rsidRPr="004B1B95">
        <w:rPr>
          <w:rFonts w:eastAsia="Times New Roman" w:cstheme="minorHAnsi"/>
          <w:kern w:val="36"/>
          <w:lang w:eastAsia="en-GB"/>
        </w:rPr>
        <w:t xml:space="preserve"> a (INHBA) have been associated with poor prognosis and may act in tumour cell intrinsic and/or extrinsic manners to promote disease progr</w:t>
      </w:r>
      <w:r>
        <w:rPr>
          <w:rFonts w:eastAsia="Times New Roman" w:cstheme="minorHAnsi"/>
          <w:kern w:val="36"/>
          <w:lang w:eastAsia="en-GB"/>
        </w:rPr>
        <w:t>ession (2</w:t>
      </w:r>
      <w:r w:rsidRPr="004B1B95">
        <w:rPr>
          <w:rFonts w:eastAsia="Times New Roman" w:cstheme="minorHAnsi"/>
          <w:kern w:val="36"/>
          <w:lang w:eastAsia="en-GB"/>
        </w:rPr>
        <w:t>). Here we will seek to determine the potential tumour suppressive and tumour promoting roles</w:t>
      </w:r>
      <w:r>
        <w:rPr>
          <w:rFonts w:eastAsia="Times New Roman" w:cstheme="minorHAnsi"/>
          <w:kern w:val="36"/>
          <w:lang w:eastAsia="en-GB"/>
        </w:rPr>
        <w:t xml:space="preserve"> and mechanisms of action</w:t>
      </w:r>
      <w:r w:rsidRPr="004B1B95">
        <w:rPr>
          <w:rFonts w:eastAsia="Times New Roman" w:cstheme="minorHAnsi"/>
          <w:kern w:val="36"/>
          <w:lang w:eastAsia="en-GB"/>
        </w:rPr>
        <w:t xml:space="preserve"> of </w:t>
      </w:r>
      <w:proofErr w:type="spellStart"/>
      <w:r w:rsidRPr="004B1B95">
        <w:rPr>
          <w:rFonts w:eastAsia="Times New Roman" w:cstheme="minorHAnsi"/>
          <w:kern w:val="36"/>
          <w:lang w:eastAsia="en-GB"/>
        </w:rPr>
        <w:t>activin</w:t>
      </w:r>
      <w:proofErr w:type="spellEnd"/>
      <w:r w:rsidRPr="004B1B95">
        <w:rPr>
          <w:rFonts w:eastAsia="Times New Roman" w:cstheme="minorHAnsi"/>
          <w:kern w:val="36"/>
          <w:lang w:eastAsia="en-GB"/>
        </w:rPr>
        <w:t xml:space="preserve"> signalling in PDAC progression taking a multidisciplinary systematic approach to investigate the contribution of both loss of ACVR2a and gain of INHBA expression on both the tumour and the TME.    </w:t>
      </w:r>
    </w:p>
    <w:p w14:paraId="1B9C0FAB" w14:textId="77777777" w:rsidR="00FD38A7" w:rsidRDefault="00FD38A7" w:rsidP="00FC22E0">
      <w:pPr>
        <w:jc w:val="both"/>
        <w:rPr>
          <w:sz w:val="22"/>
          <w:szCs w:val="22"/>
        </w:rPr>
      </w:pPr>
    </w:p>
    <w:p w14:paraId="4E0669DE" w14:textId="338AE977"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750ED037" w14:textId="42A787A1" w:rsidR="00C92CA8" w:rsidRPr="00554F08" w:rsidRDefault="00C92CA8" w:rsidP="00C92CA8">
      <w:pPr>
        <w:jc w:val="both"/>
        <w:rPr>
          <w:bCs/>
        </w:rPr>
      </w:pPr>
      <w:r w:rsidRPr="00554F08">
        <w:rPr>
          <w:bCs/>
        </w:rPr>
        <w:t>Pancreatic cancer is a key tumour type of unmet need and one</w:t>
      </w:r>
      <w:r w:rsidR="009275C6" w:rsidRPr="00554F08">
        <w:rPr>
          <w:bCs/>
        </w:rPr>
        <w:t xml:space="preserve"> of the major priorities of </w:t>
      </w:r>
      <w:r w:rsidRPr="00554F08">
        <w:rPr>
          <w:bCs/>
        </w:rPr>
        <w:t>C</w:t>
      </w:r>
      <w:r w:rsidR="009275C6" w:rsidRPr="00554F08">
        <w:rPr>
          <w:bCs/>
        </w:rPr>
        <w:t xml:space="preserve">ancer Research </w:t>
      </w:r>
      <w:r w:rsidRPr="00554F08">
        <w:rPr>
          <w:bCs/>
        </w:rPr>
        <w:t>UK</w:t>
      </w:r>
      <w:r w:rsidR="009275C6" w:rsidRPr="00554F08">
        <w:rPr>
          <w:bCs/>
        </w:rPr>
        <w:t>, The CRUK Scotland Institute</w:t>
      </w:r>
      <w:r w:rsidRPr="00554F08">
        <w:rPr>
          <w:bCs/>
        </w:rPr>
        <w:t xml:space="preserve"> and the </w:t>
      </w:r>
      <w:r w:rsidR="009275C6" w:rsidRPr="00554F08">
        <w:rPr>
          <w:bCs/>
        </w:rPr>
        <w:t xml:space="preserve">CRUK </w:t>
      </w:r>
      <w:r w:rsidRPr="00554F08">
        <w:rPr>
          <w:bCs/>
        </w:rPr>
        <w:t>Scotland Cancer Centre</w:t>
      </w:r>
      <w:r w:rsidRPr="00554F08">
        <w:rPr>
          <w:b/>
          <w:bCs/>
        </w:rPr>
        <w:t xml:space="preserve">. </w:t>
      </w:r>
    </w:p>
    <w:p w14:paraId="5456BF6C" w14:textId="77777777" w:rsidR="00C92CA8" w:rsidRDefault="00C92CA8" w:rsidP="00C92CA8">
      <w:pPr>
        <w:pStyle w:val="Bodycopy"/>
      </w:pPr>
    </w:p>
    <w:p w14:paraId="2F33498C" w14:textId="732B405C"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w:t>
      </w:r>
      <w:proofErr w:type="gramStart"/>
      <w:r w:rsidR="00B402B9">
        <w:rPr>
          <w:b/>
          <w:bCs/>
          <w:sz w:val="22"/>
          <w:szCs w:val="22"/>
        </w:rPr>
        <w:t>be used</w:t>
      </w:r>
      <w:proofErr w:type="gramEnd"/>
      <w:r w:rsidRPr="00FD38A7">
        <w:rPr>
          <w:b/>
          <w:bCs/>
          <w:sz w:val="22"/>
          <w:szCs w:val="22"/>
        </w:rPr>
        <w:t>:</w:t>
      </w:r>
      <w:r w:rsidR="002623D6" w:rsidRPr="00FD38A7">
        <w:rPr>
          <w:b/>
          <w:bCs/>
          <w:sz w:val="22"/>
          <w:szCs w:val="22"/>
        </w:rPr>
        <w:t xml:space="preserve"> </w:t>
      </w:r>
      <w:r w:rsidR="002623D6" w:rsidRPr="00FD38A7">
        <w:rPr>
          <w:b/>
          <w:bCs/>
          <w:sz w:val="22"/>
          <w:szCs w:val="22"/>
        </w:rPr>
        <w:tab/>
      </w:r>
    </w:p>
    <w:p w14:paraId="43B8EC24" w14:textId="4BF70913" w:rsidR="00B402B9" w:rsidRDefault="00C92CA8" w:rsidP="00FC22E0">
      <w:pPr>
        <w:jc w:val="both"/>
        <w:rPr>
          <w:sz w:val="22"/>
          <w:szCs w:val="22"/>
        </w:rPr>
      </w:pPr>
      <w:r w:rsidRPr="00A2451A">
        <w:rPr>
          <w:bCs/>
        </w:rPr>
        <w:t xml:space="preserve">In this </w:t>
      </w:r>
      <w:proofErr w:type="gramStart"/>
      <w:r w:rsidRPr="00A2451A">
        <w:rPr>
          <w:bCs/>
        </w:rPr>
        <w:t>project</w:t>
      </w:r>
      <w:proofErr w:type="gramEnd"/>
      <w:r w:rsidRPr="00A2451A">
        <w:rPr>
          <w:bCs/>
        </w:rPr>
        <w:t xml:space="preserve"> we bring together a cross city supervisory team with complimentary internationally renowned expertise in pancreatic cancer (Morton, Serrels), TGF</w:t>
      </w:r>
      <w:r>
        <w:rPr>
          <w:rFonts w:eastAsia="Times New Roman" w:cstheme="minorHAnsi"/>
          <w:kern w:val="36"/>
          <w:lang w:eastAsia="en-GB"/>
        </w:rPr>
        <w:t>β</w:t>
      </w:r>
      <w:r w:rsidRPr="00A2451A">
        <w:rPr>
          <w:bCs/>
        </w:rPr>
        <w:t xml:space="preserve"> superfamily signalling (Inman) and study of the </w:t>
      </w:r>
      <w:r>
        <w:rPr>
          <w:bCs/>
        </w:rPr>
        <w:t xml:space="preserve">TME (Serrels, Morton). </w:t>
      </w:r>
      <w:r w:rsidR="009275C6" w:rsidRPr="00A2451A">
        <w:rPr>
          <w:bCs/>
        </w:rPr>
        <w:t xml:space="preserve">We have </w:t>
      </w:r>
      <w:r w:rsidR="009275C6">
        <w:rPr>
          <w:bCs/>
        </w:rPr>
        <w:t xml:space="preserve">already </w:t>
      </w:r>
      <w:r w:rsidR="009275C6" w:rsidRPr="00A2451A">
        <w:rPr>
          <w:bCs/>
        </w:rPr>
        <w:t xml:space="preserve">generated mice harbouring the </w:t>
      </w:r>
      <w:proofErr w:type="spellStart"/>
      <w:r w:rsidR="009275C6" w:rsidRPr="00A2451A">
        <w:rPr>
          <w:bCs/>
        </w:rPr>
        <w:t>floxed</w:t>
      </w:r>
      <w:proofErr w:type="spellEnd"/>
      <w:r w:rsidR="009275C6" w:rsidRPr="00A2451A">
        <w:rPr>
          <w:bCs/>
        </w:rPr>
        <w:t xml:space="preserve"> allele of </w:t>
      </w:r>
      <w:r w:rsidR="009275C6" w:rsidRPr="006E0BE5">
        <w:rPr>
          <w:bCs/>
          <w:i/>
        </w:rPr>
        <w:t>Acvr2a</w:t>
      </w:r>
      <w:r w:rsidR="009275C6">
        <w:rPr>
          <w:bCs/>
        </w:rPr>
        <w:t xml:space="preserve"> and </w:t>
      </w:r>
      <w:r w:rsidR="009275C6" w:rsidRPr="00A2451A">
        <w:rPr>
          <w:bCs/>
        </w:rPr>
        <w:t>cross</w:t>
      </w:r>
      <w:r w:rsidR="009275C6">
        <w:rPr>
          <w:bCs/>
        </w:rPr>
        <w:t>ed</w:t>
      </w:r>
      <w:r w:rsidR="009275C6" w:rsidRPr="00A2451A">
        <w:rPr>
          <w:bCs/>
        </w:rPr>
        <w:t xml:space="preserve"> these mice to the </w:t>
      </w:r>
      <w:r w:rsidR="009275C6" w:rsidRPr="00A2451A">
        <w:rPr>
          <w:i/>
          <w:iCs/>
          <w:color w:val="222222"/>
          <w:shd w:val="clear" w:color="auto" w:fill="FFFFFF"/>
        </w:rPr>
        <w:t>Kras</w:t>
      </w:r>
      <w:r w:rsidR="009275C6" w:rsidRPr="00A2451A">
        <w:rPr>
          <w:i/>
          <w:iCs/>
          <w:color w:val="222222"/>
          <w:shd w:val="clear" w:color="auto" w:fill="FFFFFF"/>
          <w:vertAlign w:val="superscript"/>
        </w:rPr>
        <w:t>LSL-G12D/+</w:t>
      </w:r>
      <w:r w:rsidR="009275C6">
        <w:rPr>
          <w:i/>
          <w:iCs/>
          <w:color w:val="222222"/>
          <w:shd w:val="clear" w:color="auto" w:fill="FFFFFF"/>
        </w:rPr>
        <w:t>;</w:t>
      </w:r>
      <w:r w:rsidR="009275C6" w:rsidRPr="00A2451A">
        <w:rPr>
          <w:i/>
          <w:iCs/>
          <w:color w:val="222222"/>
          <w:shd w:val="clear" w:color="auto" w:fill="FFFFFF"/>
        </w:rPr>
        <w:t>Pdx1–</w:t>
      </w:r>
      <w:proofErr w:type="spellStart"/>
      <w:r w:rsidR="009275C6" w:rsidRPr="00A2451A">
        <w:rPr>
          <w:i/>
          <w:iCs/>
          <w:color w:val="222222"/>
          <w:shd w:val="clear" w:color="auto" w:fill="FFFFFF"/>
        </w:rPr>
        <w:t>Cre</w:t>
      </w:r>
      <w:proofErr w:type="spellEnd"/>
      <w:r w:rsidR="009275C6" w:rsidRPr="00A2451A">
        <w:rPr>
          <w:bCs/>
        </w:rPr>
        <w:t xml:space="preserve"> PDAC model to measure effects </w:t>
      </w:r>
      <w:r w:rsidR="009275C6">
        <w:rPr>
          <w:bCs/>
        </w:rPr>
        <w:t xml:space="preserve">of deletion of </w:t>
      </w:r>
      <w:r w:rsidR="009275C6" w:rsidRPr="006E0BE5">
        <w:rPr>
          <w:bCs/>
          <w:i/>
        </w:rPr>
        <w:t>Acvr2a</w:t>
      </w:r>
      <w:r w:rsidR="009275C6" w:rsidRPr="00A2451A">
        <w:rPr>
          <w:bCs/>
        </w:rPr>
        <w:t xml:space="preserve"> on early tumour initiation and to the </w:t>
      </w:r>
      <w:r w:rsidR="009275C6" w:rsidRPr="00A2451A">
        <w:rPr>
          <w:i/>
          <w:iCs/>
          <w:color w:val="222222"/>
          <w:shd w:val="clear" w:color="auto" w:fill="FFFFFF"/>
        </w:rPr>
        <w:t>Kras</w:t>
      </w:r>
      <w:r w:rsidR="009275C6" w:rsidRPr="00A2451A">
        <w:rPr>
          <w:i/>
          <w:iCs/>
          <w:color w:val="222222"/>
          <w:shd w:val="clear" w:color="auto" w:fill="FFFFFF"/>
          <w:vertAlign w:val="superscript"/>
        </w:rPr>
        <w:t>LSL-G12D/+</w:t>
      </w:r>
      <w:r w:rsidR="009275C6" w:rsidRPr="00A2451A">
        <w:rPr>
          <w:i/>
          <w:iCs/>
          <w:color w:val="222222"/>
          <w:shd w:val="clear" w:color="auto" w:fill="FFFFFF"/>
        </w:rPr>
        <w:t>;Trp53</w:t>
      </w:r>
      <w:r w:rsidR="009275C6" w:rsidRPr="00A2451A">
        <w:rPr>
          <w:i/>
          <w:iCs/>
          <w:color w:val="222222"/>
          <w:shd w:val="clear" w:color="auto" w:fill="FFFFFF"/>
          <w:vertAlign w:val="superscript"/>
        </w:rPr>
        <w:t>LSL-R172H/+</w:t>
      </w:r>
      <w:r w:rsidR="009275C6" w:rsidRPr="00A2451A">
        <w:rPr>
          <w:i/>
          <w:iCs/>
          <w:color w:val="222222"/>
          <w:shd w:val="clear" w:color="auto" w:fill="FFFFFF"/>
        </w:rPr>
        <w:t>;Pdx1–</w:t>
      </w:r>
      <w:proofErr w:type="spellStart"/>
      <w:r w:rsidR="009275C6" w:rsidRPr="00A2451A">
        <w:rPr>
          <w:i/>
          <w:iCs/>
          <w:color w:val="222222"/>
          <w:shd w:val="clear" w:color="auto" w:fill="FFFFFF"/>
        </w:rPr>
        <w:t>Cre</w:t>
      </w:r>
      <w:proofErr w:type="spellEnd"/>
      <w:r w:rsidR="009275C6" w:rsidRPr="00A2451A">
        <w:rPr>
          <w:bCs/>
        </w:rPr>
        <w:t xml:space="preserve"> mice to measure effects</w:t>
      </w:r>
      <w:r w:rsidR="009275C6">
        <w:rPr>
          <w:bCs/>
        </w:rPr>
        <w:t xml:space="preserve"> </w:t>
      </w:r>
      <w:r w:rsidR="009275C6" w:rsidRPr="00A2451A">
        <w:rPr>
          <w:bCs/>
        </w:rPr>
        <w:t xml:space="preserve">on tumour progression and metastasis (Morton lab). </w:t>
      </w:r>
      <w:r w:rsidR="009275C6">
        <w:rPr>
          <w:bCs/>
        </w:rPr>
        <w:t xml:space="preserve">Initial analysis of these cohorts reveals a tumour suppressive role of ACVR2a in this context. Here we will take a deep phenotyping approach to understand the biological </w:t>
      </w:r>
      <w:r w:rsidR="009275C6">
        <w:rPr>
          <w:bCs/>
        </w:rPr>
        <w:t xml:space="preserve">basis of these findings employing bulk </w:t>
      </w:r>
      <w:proofErr w:type="spellStart"/>
      <w:r w:rsidR="009275C6">
        <w:rPr>
          <w:bCs/>
        </w:rPr>
        <w:t>RNaseq</w:t>
      </w:r>
      <w:proofErr w:type="spellEnd"/>
      <w:r w:rsidR="009275C6">
        <w:rPr>
          <w:bCs/>
        </w:rPr>
        <w:t xml:space="preserve">, spatial </w:t>
      </w:r>
      <w:proofErr w:type="spellStart"/>
      <w:r w:rsidR="009275C6">
        <w:rPr>
          <w:bCs/>
        </w:rPr>
        <w:t>transcriptomics</w:t>
      </w:r>
      <w:proofErr w:type="spellEnd"/>
      <w:r w:rsidR="009275C6">
        <w:rPr>
          <w:bCs/>
        </w:rPr>
        <w:t xml:space="preserve"> and multiplexed immunohistochemistry on tumour tissues</w:t>
      </w:r>
      <w:r w:rsidR="00E63A59">
        <w:rPr>
          <w:bCs/>
        </w:rPr>
        <w:t xml:space="preserve"> isolated</w:t>
      </w:r>
      <w:r w:rsidR="009275C6">
        <w:rPr>
          <w:bCs/>
        </w:rPr>
        <w:t xml:space="preserve"> from these cohorts. </w:t>
      </w:r>
      <w:r w:rsidRPr="00A2451A">
        <w:rPr>
          <w:bCs/>
        </w:rPr>
        <w:t xml:space="preserve">We will </w:t>
      </w:r>
      <w:r w:rsidR="009275C6">
        <w:rPr>
          <w:bCs/>
        </w:rPr>
        <w:t xml:space="preserve">also </w:t>
      </w:r>
      <w:r w:rsidRPr="00A2451A">
        <w:rPr>
          <w:bCs/>
        </w:rPr>
        <w:t xml:space="preserve">investigate tumour cell intrinsic effects of </w:t>
      </w:r>
      <w:proofErr w:type="spellStart"/>
      <w:r w:rsidRPr="00A2451A">
        <w:rPr>
          <w:bCs/>
        </w:rPr>
        <w:t>activin</w:t>
      </w:r>
      <w:proofErr w:type="spellEnd"/>
      <w:r w:rsidRPr="00A2451A">
        <w:rPr>
          <w:bCs/>
        </w:rPr>
        <w:t xml:space="preserve"> signalling in-vitro using ligand stimulation and inhibition coupled with overexpression, and </w:t>
      </w:r>
      <w:proofErr w:type="spellStart"/>
      <w:r w:rsidRPr="00A2451A">
        <w:rPr>
          <w:bCs/>
        </w:rPr>
        <w:t>Crispr</w:t>
      </w:r>
      <w:proofErr w:type="spellEnd"/>
      <w:r w:rsidRPr="00A2451A">
        <w:rPr>
          <w:bCs/>
        </w:rPr>
        <w:t xml:space="preserve">/Cas9 mediated knockout of ACVR2a and INHBA measuring effects on cell proliferation, survival, migration and invasion employing a suite of human and mouse syngeneic PDAC cell lines (Inman and Serrels lab). We will explore downstream mediators of the biological effects using </w:t>
      </w:r>
      <w:proofErr w:type="spellStart"/>
      <w:r w:rsidRPr="00A2451A">
        <w:rPr>
          <w:bCs/>
        </w:rPr>
        <w:t>RNAseq</w:t>
      </w:r>
      <w:proofErr w:type="spellEnd"/>
      <w:r w:rsidRPr="00A2451A">
        <w:rPr>
          <w:bCs/>
        </w:rPr>
        <w:t xml:space="preserve">. Using syngeneic transplantation studies we will </w:t>
      </w:r>
      <w:r w:rsidR="00E63A59">
        <w:rPr>
          <w:bCs/>
        </w:rPr>
        <w:t xml:space="preserve">further </w:t>
      </w:r>
      <w:r w:rsidRPr="00A2451A">
        <w:rPr>
          <w:bCs/>
        </w:rPr>
        <w:t xml:space="preserve">investigate the consequences of </w:t>
      </w:r>
      <w:proofErr w:type="spellStart"/>
      <w:r w:rsidRPr="00A2451A">
        <w:rPr>
          <w:bCs/>
        </w:rPr>
        <w:t>activin</w:t>
      </w:r>
      <w:proofErr w:type="spellEnd"/>
      <w:r w:rsidRPr="00A2451A">
        <w:rPr>
          <w:bCs/>
        </w:rPr>
        <w:t xml:space="preserve"> signalling modulation on the TME in-vivo with particular focus on the immune landscape using </w:t>
      </w:r>
      <w:r>
        <w:rPr>
          <w:bCs/>
        </w:rPr>
        <w:t xml:space="preserve">spatial </w:t>
      </w:r>
      <w:proofErr w:type="spellStart"/>
      <w:r>
        <w:rPr>
          <w:bCs/>
        </w:rPr>
        <w:t>transcriptomics</w:t>
      </w:r>
      <w:proofErr w:type="spellEnd"/>
      <w:r>
        <w:rPr>
          <w:bCs/>
        </w:rPr>
        <w:t xml:space="preserve"> and </w:t>
      </w:r>
      <w:r w:rsidRPr="00A2451A">
        <w:rPr>
          <w:bCs/>
        </w:rPr>
        <w:t>digital and molecular pathology</w:t>
      </w:r>
      <w:r>
        <w:rPr>
          <w:bCs/>
        </w:rPr>
        <w:t xml:space="preserve"> (Inman/Serrels/Morton lab)</w:t>
      </w:r>
      <w:r w:rsidRPr="00A2451A">
        <w:rPr>
          <w:bCs/>
        </w:rPr>
        <w:t xml:space="preserve"> and advanced </w:t>
      </w:r>
      <w:proofErr w:type="spellStart"/>
      <w:r w:rsidRPr="00A2451A">
        <w:rPr>
          <w:bCs/>
        </w:rPr>
        <w:t>intravital</w:t>
      </w:r>
      <w:proofErr w:type="spellEnd"/>
      <w:r w:rsidRPr="00A2451A">
        <w:rPr>
          <w:bCs/>
        </w:rPr>
        <w:t xml:space="preserve"> imaging techniques (</w:t>
      </w:r>
      <w:r>
        <w:rPr>
          <w:bCs/>
        </w:rPr>
        <w:t>Serrels</w:t>
      </w:r>
      <w:r w:rsidRPr="00A2451A">
        <w:rPr>
          <w:bCs/>
        </w:rPr>
        <w:t xml:space="preserve"> lab) and </w:t>
      </w:r>
      <w:r w:rsidR="009275C6">
        <w:rPr>
          <w:bCs/>
        </w:rPr>
        <w:t xml:space="preserve">compare observations </w:t>
      </w:r>
      <w:r w:rsidR="00B12A3C">
        <w:rPr>
          <w:bCs/>
        </w:rPr>
        <w:t xml:space="preserve">with those made </w:t>
      </w:r>
      <w:r w:rsidR="009275C6">
        <w:rPr>
          <w:bCs/>
        </w:rPr>
        <w:t>in the genetically engineered</w:t>
      </w:r>
      <w:r w:rsidRPr="00A2451A">
        <w:rPr>
          <w:bCs/>
        </w:rPr>
        <w:t xml:space="preserve"> models </w:t>
      </w:r>
      <w:r w:rsidR="009275C6">
        <w:rPr>
          <w:bCs/>
        </w:rPr>
        <w:t xml:space="preserve">described above </w:t>
      </w:r>
      <w:r w:rsidRPr="00A2451A">
        <w:rPr>
          <w:bCs/>
        </w:rPr>
        <w:t xml:space="preserve">(Morton lab). </w:t>
      </w:r>
      <w:r w:rsidR="009275C6">
        <w:rPr>
          <w:bCs/>
        </w:rPr>
        <w:t>Students will receive expert tuition in bioinformatics to enable integration of their multimodal datasets by working</w:t>
      </w:r>
      <w:r w:rsidR="00B12A3C">
        <w:rPr>
          <w:bCs/>
        </w:rPr>
        <w:t xml:space="preserve"> closely with dedicated</w:t>
      </w:r>
      <w:r w:rsidR="009275C6">
        <w:rPr>
          <w:bCs/>
        </w:rPr>
        <w:t xml:space="preserve"> </w:t>
      </w:r>
      <w:proofErr w:type="spellStart"/>
      <w:r w:rsidR="009275C6">
        <w:rPr>
          <w:bCs/>
        </w:rPr>
        <w:t>bioinformaticians</w:t>
      </w:r>
      <w:proofErr w:type="spellEnd"/>
      <w:r w:rsidR="009275C6">
        <w:rPr>
          <w:bCs/>
        </w:rPr>
        <w:t xml:space="preserve"> in the host laboratories and Institutes.  </w:t>
      </w:r>
    </w:p>
    <w:p w14:paraId="2847F12E" w14:textId="77777777" w:rsidR="00B402B9" w:rsidRDefault="00B402B9" w:rsidP="00FC22E0">
      <w:pPr>
        <w:jc w:val="both"/>
        <w:rPr>
          <w:sz w:val="22"/>
          <w:szCs w:val="22"/>
        </w:rPr>
      </w:pPr>
    </w:p>
    <w:p w14:paraId="6BD5B96F" w14:textId="77777777" w:rsidR="00FD38A7" w:rsidRPr="00FD38A7" w:rsidRDefault="00FD38A7" w:rsidP="00FC22E0">
      <w:pPr>
        <w:jc w:val="both"/>
        <w:rPr>
          <w:sz w:val="22"/>
          <w:szCs w:val="22"/>
        </w:rPr>
      </w:pPr>
    </w:p>
    <w:p w14:paraId="018C0E15" w14:textId="10ACC2F2" w:rsidR="002E79A8" w:rsidRDefault="002E79A8" w:rsidP="00FC22E0">
      <w:pPr>
        <w:jc w:val="both"/>
        <w:rPr>
          <w:b/>
          <w:bCs/>
          <w:sz w:val="22"/>
          <w:szCs w:val="22"/>
        </w:rPr>
      </w:pPr>
      <w:r w:rsidRPr="00FD38A7">
        <w:rPr>
          <w:b/>
          <w:bCs/>
          <w:sz w:val="22"/>
          <w:szCs w:val="22"/>
        </w:rPr>
        <w:t>Papers of interest:</w:t>
      </w:r>
      <w:bookmarkStart w:id="0" w:name="_GoBack"/>
      <w:bookmarkEnd w:id="0"/>
    </w:p>
    <w:p w14:paraId="22736F3C" w14:textId="77777777" w:rsidR="009275C6" w:rsidRPr="002517E0" w:rsidRDefault="009275C6" w:rsidP="009275C6">
      <w:pPr>
        <w:pStyle w:val="ListParagraph"/>
        <w:widowControl/>
        <w:numPr>
          <w:ilvl w:val="0"/>
          <w:numId w:val="4"/>
        </w:numPr>
        <w:autoSpaceDE/>
        <w:autoSpaceDN/>
        <w:adjustRightInd/>
        <w:spacing w:after="0"/>
        <w:rPr>
          <w:rStyle w:val="docsum-journal-citation"/>
          <w:rFonts w:cstheme="minorHAnsi"/>
        </w:rPr>
      </w:pPr>
      <w:r w:rsidRPr="002517E0">
        <w:rPr>
          <w:rStyle w:val="docsum-authors"/>
          <w:rFonts w:cstheme="minorHAnsi"/>
          <w:bCs/>
          <w:sz w:val="22"/>
          <w:szCs w:val="22"/>
        </w:rPr>
        <w:t>Connor AA</w:t>
      </w:r>
      <w:r w:rsidRPr="002517E0">
        <w:rPr>
          <w:rStyle w:val="docsum-authors"/>
          <w:rFonts w:cstheme="minorHAnsi"/>
          <w:sz w:val="22"/>
          <w:szCs w:val="22"/>
        </w:rPr>
        <w:t>, </w:t>
      </w:r>
      <w:proofErr w:type="spellStart"/>
      <w:r w:rsidRPr="002517E0">
        <w:rPr>
          <w:rStyle w:val="docsum-authors"/>
          <w:rFonts w:cstheme="minorHAnsi"/>
          <w:bCs/>
          <w:sz w:val="22"/>
          <w:szCs w:val="22"/>
        </w:rPr>
        <w:t>Gallinger</w:t>
      </w:r>
      <w:proofErr w:type="spellEnd"/>
      <w:r w:rsidRPr="002517E0">
        <w:rPr>
          <w:rStyle w:val="docsum-authors"/>
          <w:rFonts w:cstheme="minorHAnsi"/>
          <w:bCs/>
          <w:sz w:val="22"/>
          <w:szCs w:val="22"/>
        </w:rPr>
        <w:t xml:space="preserve"> S.</w:t>
      </w:r>
      <w:r w:rsidRPr="002517E0">
        <w:rPr>
          <w:rFonts w:cstheme="minorHAnsi"/>
          <w:sz w:val="22"/>
          <w:szCs w:val="22"/>
        </w:rPr>
        <w:t xml:space="preserve"> </w:t>
      </w:r>
      <w:hyperlink r:id="rId7" w:history="1">
        <w:r w:rsidRPr="002517E0">
          <w:rPr>
            <w:rStyle w:val="Hyperlink"/>
            <w:rFonts w:cstheme="minorHAnsi"/>
            <w:sz w:val="22"/>
            <w:szCs w:val="22"/>
            <w:shd w:val="clear" w:color="auto" w:fill="FFFFFF"/>
          </w:rPr>
          <w:t>Pancreatic cancer evolution and heterogeneity: integrating omics and clinical data.</w:t>
        </w:r>
      </w:hyperlink>
      <w:r w:rsidRPr="002517E0">
        <w:rPr>
          <w:rFonts w:cstheme="minorHAnsi"/>
          <w:sz w:val="22"/>
          <w:szCs w:val="22"/>
        </w:rPr>
        <w:t xml:space="preserve"> </w:t>
      </w:r>
      <w:r w:rsidRPr="002517E0">
        <w:rPr>
          <w:rStyle w:val="docsum-journal-citation"/>
          <w:rFonts w:cstheme="minorHAnsi"/>
        </w:rPr>
        <w:t>Nat Rev Cancer. 2022 Mar</w:t>
      </w:r>
      <w:proofErr w:type="gramStart"/>
      <w:r w:rsidRPr="002517E0">
        <w:rPr>
          <w:rStyle w:val="docsum-journal-citation"/>
          <w:rFonts w:cstheme="minorHAnsi"/>
        </w:rPr>
        <w:t>;22</w:t>
      </w:r>
      <w:proofErr w:type="gramEnd"/>
      <w:r w:rsidRPr="002517E0">
        <w:rPr>
          <w:rStyle w:val="docsum-journal-citation"/>
          <w:rFonts w:cstheme="minorHAnsi"/>
        </w:rPr>
        <w:t>(3):131-142.</w:t>
      </w:r>
    </w:p>
    <w:p w14:paraId="417F0C71" w14:textId="77777777" w:rsidR="009275C6" w:rsidRPr="002517E0" w:rsidRDefault="009275C6" w:rsidP="009275C6">
      <w:pPr>
        <w:pStyle w:val="ListParagraph"/>
        <w:widowControl/>
        <w:numPr>
          <w:ilvl w:val="0"/>
          <w:numId w:val="4"/>
        </w:numPr>
        <w:autoSpaceDE/>
        <w:autoSpaceDN/>
        <w:adjustRightInd/>
        <w:spacing w:after="0"/>
        <w:rPr>
          <w:rFonts w:cstheme="minorHAnsi"/>
          <w:sz w:val="22"/>
          <w:szCs w:val="22"/>
        </w:rPr>
      </w:pPr>
      <w:proofErr w:type="spellStart"/>
      <w:r w:rsidRPr="002517E0">
        <w:rPr>
          <w:rStyle w:val="docsum-authors"/>
          <w:rFonts w:cstheme="minorHAnsi"/>
          <w:sz w:val="22"/>
          <w:szCs w:val="22"/>
        </w:rPr>
        <w:t>Qiu</w:t>
      </w:r>
      <w:proofErr w:type="spellEnd"/>
      <w:r w:rsidRPr="002517E0">
        <w:rPr>
          <w:rStyle w:val="docsum-authors"/>
          <w:rFonts w:cstheme="minorHAnsi"/>
          <w:sz w:val="22"/>
          <w:szCs w:val="22"/>
        </w:rPr>
        <w:t xml:space="preserve"> W, </w:t>
      </w:r>
      <w:proofErr w:type="spellStart"/>
      <w:r w:rsidRPr="002517E0">
        <w:rPr>
          <w:rStyle w:val="docsum-authors"/>
          <w:rFonts w:cstheme="minorHAnsi"/>
          <w:sz w:val="22"/>
          <w:szCs w:val="22"/>
        </w:rPr>
        <w:t>Kuo</w:t>
      </w:r>
      <w:proofErr w:type="spellEnd"/>
      <w:r w:rsidRPr="002517E0">
        <w:rPr>
          <w:rStyle w:val="docsum-authors"/>
          <w:rFonts w:cstheme="minorHAnsi"/>
          <w:sz w:val="22"/>
          <w:szCs w:val="22"/>
        </w:rPr>
        <w:t xml:space="preserve"> CY, Tian Y, Su GH.</w:t>
      </w:r>
      <w:r w:rsidRPr="002517E0">
        <w:rPr>
          <w:rFonts w:cstheme="minorHAnsi"/>
          <w:sz w:val="22"/>
          <w:szCs w:val="22"/>
        </w:rPr>
        <w:t xml:space="preserve"> </w:t>
      </w:r>
      <w:hyperlink r:id="rId8" w:history="1">
        <w:r w:rsidRPr="002517E0">
          <w:rPr>
            <w:rStyle w:val="Hyperlink"/>
            <w:rFonts w:cstheme="minorHAnsi"/>
            <w:sz w:val="22"/>
            <w:szCs w:val="22"/>
            <w:shd w:val="clear" w:color="auto" w:fill="FFFFFF"/>
          </w:rPr>
          <w:t>Dual Roles of the </w:t>
        </w:r>
        <w:proofErr w:type="spellStart"/>
        <w:r w:rsidRPr="002517E0">
          <w:rPr>
            <w:rStyle w:val="Hyperlink"/>
            <w:rFonts w:cstheme="minorHAnsi"/>
            <w:bCs/>
            <w:sz w:val="22"/>
            <w:szCs w:val="22"/>
            <w:shd w:val="clear" w:color="auto" w:fill="FFFFFF"/>
          </w:rPr>
          <w:t>Activin</w:t>
        </w:r>
        <w:proofErr w:type="spellEnd"/>
        <w:r w:rsidRPr="002517E0">
          <w:rPr>
            <w:rStyle w:val="Hyperlink"/>
            <w:rFonts w:cstheme="minorHAnsi"/>
            <w:sz w:val="22"/>
            <w:szCs w:val="22"/>
            <w:shd w:val="clear" w:color="auto" w:fill="FFFFFF"/>
          </w:rPr>
          <w:t> </w:t>
        </w:r>
        <w:proofErr w:type="spellStart"/>
        <w:r w:rsidRPr="002517E0">
          <w:rPr>
            <w:rStyle w:val="Hyperlink"/>
            <w:rFonts w:cstheme="minorHAnsi"/>
            <w:sz w:val="22"/>
            <w:szCs w:val="22"/>
            <w:shd w:val="clear" w:color="auto" w:fill="FFFFFF"/>
          </w:rPr>
          <w:t>Signaling</w:t>
        </w:r>
        <w:proofErr w:type="spellEnd"/>
        <w:r w:rsidRPr="002517E0">
          <w:rPr>
            <w:rStyle w:val="Hyperlink"/>
            <w:rFonts w:cstheme="minorHAnsi"/>
            <w:sz w:val="22"/>
            <w:szCs w:val="22"/>
            <w:shd w:val="clear" w:color="auto" w:fill="FFFFFF"/>
          </w:rPr>
          <w:t xml:space="preserve"> Pathway in </w:t>
        </w:r>
        <w:r w:rsidRPr="002517E0">
          <w:rPr>
            <w:rStyle w:val="Hyperlink"/>
            <w:rFonts w:cstheme="minorHAnsi"/>
            <w:bCs/>
            <w:sz w:val="22"/>
            <w:szCs w:val="22"/>
            <w:shd w:val="clear" w:color="auto" w:fill="FFFFFF"/>
          </w:rPr>
          <w:t>Pancreatic</w:t>
        </w:r>
        <w:r w:rsidRPr="002517E0">
          <w:rPr>
            <w:rStyle w:val="Hyperlink"/>
            <w:rFonts w:cstheme="minorHAnsi"/>
            <w:sz w:val="22"/>
            <w:szCs w:val="22"/>
            <w:shd w:val="clear" w:color="auto" w:fill="FFFFFF"/>
          </w:rPr>
          <w:t> Cancer.</w:t>
        </w:r>
      </w:hyperlink>
      <w:r w:rsidRPr="002517E0">
        <w:rPr>
          <w:rFonts w:cstheme="minorHAnsi"/>
          <w:sz w:val="22"/>
          <w:szCs w:val="22"/>
        </w:rPr>
        <w:t xml:space="preserve"> </w:t>
      </w:r>
      <w:r w:rsidRPr="002517E0">
        <w:rPr>
          <w:rStyle w:val="docsum-journal-citation"/>
          <w:rFonts w:cstheme="minorHAnsi"/>
        </w:rPr>
        <w:t>Biomedicines. 2021 Jul 14</w:t>
      </w:r>
      <w:proofErr w:type="gramStart"/>
      <w:r w:rsidRPr="002517E0">
        <w:rPr>
          <w:rStyle w:val="docsum-journal-citation"/>
          <w:rFonts w:cstheme="minorHAnsi"/>
        </w:rPr>
        <w:t>;9</w:t>
      </w:r>
      <w:proofErr w:type="gramEnd"/>
      <w:r w:rsidRPr="002517E0">
        <w:rPr>
          <w:rStyle w:val="docsum-journal-citation"/>
          <w:rFonts w:cstheme="minorHAnsi"/>
        </w:rPr>
        <w:t xml:space="preserve">(7):821. </w:t>
      </w:r>
    </w:p>
    <w:p w14:paraId="294F793D" w14:textId="55913FE6" w:rsidR="00E63A59" w:rsidRPr="00E63A59" w:rsidRDefault="00E63A59" w:rsidP="00E63A59">
      <w:pPr>
        <w:pStyle w:val="ListParagraph"/>
        <w:numPr>
          <w:ilvl w:val="0"/>
          <w:numId w:val="4"/>
        </w:numPr>
        <w:rPr>
          <w:rFonts w:asciiTheme="minorHAnsi" w:hAnsiTheme="minorHAnsi" w:cstheme="minorHAnsi"/>
          <w:sz w:val="22"/>
          <w:szCs w:val="22"/>
        </w:rPr>
      </w:pPr>
      <w:proofErr w:type="spellStart"/>
      <w:r w:rsidRPr="00E63A59">
        <w:rPr>
          <w:rStyle w:val="docsum-authors"/>
          <w:rFonts w:asciiTheme="minorHAnsi" w:hAnsiTheme="minorHAnsi" w:cstheme="minorHAnsi"/>
          <w:color w:val="212121"/>
          <w:sz w:val="22"/>
          <w:szCs w:val="22"/>
        </w:rPr>
        <w:t>Astuti</w:t>
      </w:r>
      <w:proofErr w:type="spellEnd"/>
      <w:r w:rsidRPr="00E63A59">
        <w:rPr>
          <w:rStyle w:val="docsum-authors"/>
          <w:rFonts w:asciiTheme="minorHAnsi" w:hAnsiTheme="minorHAnsi" w:cstheme="minorHAnsi"/>
          <w:color w:val="212121"/>
          <w:sz w:val="22"/>
          <w:szCs w:val="22"/>
        </w:rPr>
        <w:t xml:space="preserve"> Y, </w:t>
      </w:r>
      <w:proofErr w:type="spellStart"/>
      <w:r w:rsidRPr="00E63A59">
        <w:rPr>
          <w:rStyle w:val="docsum-authors"/>
          <w:rFonts w:asciiTheme="minorHAnsi" w:hAnsiTheme="minorHAnsi" w:cstheme="minorHAnsi"/>
          <w:color w:val="212121"/>
          <w:sz w:val="22"/>
          <w:szCs w:val="22"/>
        </w:rPr>
        <w:t>Raymant</w:t>
      </w:r>
      <w:proofErr w:type="spellEnd"/>
      <w:r w:rsidRPr="00E63A59">
        <w:rPr>
          <w:rStyle w:val="docsum-authors"/>
          <w:rFonts w:asciiTheme="minorHAnsi" w:hAnsiTheme="minorHAnsi" w:cstheme="minorHAnsi"/>
          <w:color w:val="212121"/>
          <w:sz w:val="22"/>
          <w:szCs w:val="22"/>
        </w:rPr>
        <w:t xml:space="preserve"> M, </w:t>
      </w:r>
      <w:proofErr w:type="spellStart"/>
      <w:r w:rsidRPr="00E63A59">
        <w:rPr>
          <w:rStyle w:val="docsum-authors"/>
          <w:rFonts w:asciiTheme="minorHAnsi" w:hAnsiTheme="minorHAnsi" w:cstheme="minorHAnsi"/>
          <w:color w:val="212121"/>
          <w:sz w:val="22"/>
          <w:szCs w:val="22"/>
        </w:rPr>
        <w:t>Quaranta</w:t>
      </w:r>
      <w:proofErr w:type="spellEnd"/>
      <w:r w:rsidRPr="00E63A59">
        <w:rPr>
          <w:rStyle w:val="docsum-authors"/>
          <w:rFonts w:asciiTheme="minorHAnsi" w:hAnsiTheme="minorHAnsi" w:cstheme="minorHAnsi"/>
          <w:color w:val="212121"/>
          <w:sz w:val="22"/>
          <w:szCs w:val="22"/>
        </w:rPr>
        <w:t xml:space="preserve"> V, Clarke K, </w:t>
      </w:r>
      <w:proofErr w:type="spellStart"/>
      <w:r w:rsidRPr="00E63A59">
        <w:rPr>
          <w:rStyle w:val="docsum-authors"/>
          <w:rFonts w:asciiTheme="minorHAnsi" w:hAnsiTheme="minorHAnsi" w:cstheme="minorHAnsi"/>
          <w:color w:val="212121"/>
          <w:sz w:val="22"/>
          <w:szCs w:val="22"/>
        </w:rPr>
        <w:t>Abudula</w:t>
      </w:r>
      <w:proofErr w:type="spellEnd"/>
      <w:r w:rsidRPr="00E63A59">
        <w:rPr>
          <w:rStyle w:val="docsum-authors"/>
          <w:rFonts w:asciiTheme="minorHAnsi" w:hAnsiTheme="minorHAnsi" w:cstheme="minorHAnsi"/>
          <w:color w:val="212121"/>
          <w:sz w:val="22"/>
          <w:szCs w:val="22"/>
        </w:rPr>
        <w:t xml:space="preserve"> M, Smith O, </w:t>
      </w:r>
      <w:proofErr w:type="spellStart"/>
      <w:r w:rsidRPr="00E63A59">
        <w:rPr>
          <w:rStyle w:val="docsum-authors"/>
          <w:rFonts w:asciiTheme="minorHAnsi" w:hAnsiTheme="minorHAnsi" w:cstheme="minorHAnsi"/>
          <w:color w:val="212121"/>
          <w:sz w:val="22"/>
          <w:szCs w:val="22"/>
        </w:rPr>
        <w:t>Bellomo</w:t>
      </w:r>
      <w:proofErr w:type="spellEnd"/>
      <w:r w:rsidRPr="00E63A59">
        <w:rPr>
          <w:rStyle w:val="docsum-authors"/>
          <w:rFonts w:asciiTheme="minorHAnsi" w:hAnsiTheme="minorHAnsi" w:cstheme="minorHAnsi"/>
          <w:color w:val="212121"/>
          <w:sz w:val="22"/>
          <w:szCs w:val="22"/>
        </w:rPr>
        <w:t xml:space="preserve"> G, </w:t>
      </w:r>
      <w:proofErr w:type="spellStart"/>
      <w:r w:rsidRPr="00E63A59">
        <w:rPr>
          <w:rStyle w:val="docsum-authors"/>
          <w:rFonts w:asciiTheme="minorHAnsi" w:hAnsiTheme="minorHAnsi" w:cstheme="minorHAnsi"/>
          <w:color w:val="212121"/>
          <w:sz w:val="22"/>
          <w:szCs w:val="22"/>
        </w:rPr>
        <w:t>Chandran-Gorner</w:t>
      </w:r>
      <w:proofErr w:type="spellEnd"/>
      <w:r w:rsidRPr="00E63A59">
        <w:rPr>
          <w:rStyle w:val="docsum-authors"/>
          <w:rFonts w:asciiTheme="minorHAnsi" w:hAnsiTheme="minorHAnsi" w:cstheme="minorHAnsi"/>
          <w:color w:val="212121"/>
          <w:sz w:val="22"/>
          <w:szCs w:val="22"/>
        </w:rPr>
        <w:t xml:space="preserve"> V, Nourse C, Halloran C, </w:t>
      </w:r>
      <w:proofErr w:type="spellStart"/>
      <w:r w:rsidRPr="00E63A59">
        <w:rPr>
          <w:rStyle w:val="docsum-authors"/>
          <w:rFonts w:asciiTheme="minorHAnsi" w:hAnsiTheme="minorHAnsi" w:cstheme="minorHAnsi"/>
          <w:color w:val="212121"/>
          <w:sz w:val="22"/>
          <w:szCs w:val="22"/>
        </w:rPr>
        <w:t>Ghaneh</w:t>
      </w:r>
      <w:proofErr w:type="spellEnd"/>
      <w:r w:rsidRPr="00E63A59">
        <w:rPr>
          <w:rStyle w:val="docsum-authors"/>
          <w:rFonts w:asciiTheme="minorHAnsi" w:hAnsiTheme="minorHAnsi" w:cstheme="minorHAnsi"/>
          <w:color w:val="212121"/>
          <w:sz w:val="22"/>
          <w:szCs w:val="22"/>
        </w:rPr>
        <w:t xml:space="preserve"> P, Palmer D, Jones RP, Campbell F, Pollard JW, </w:t>
      </w:r>
      <w:r w:rsidRPr="00E63A59">
        <w:rPr>
          <w:rStyle w:val="docsum-authors"/>
          <w:rFonts w:asciiTheme="minorHAnsi" w:hAnsiTheme="minorHAnsi" w:cstheme="minorHAnsi"/>
          <w:b/>
          <w:bCs/>
          <w:color w:val="212121"/>
          <w:sz w:val="22"/>
          <w:szCs w:val="22"/>
        </w:rPr>
        <w:t>Morton JP</w:t>
      </w:r>
      <w:r w:rsidRPr="00E63A59">
        <w:rPr>
          <w:rStyle w:val="docsum-authors"/>
          <w:rFonts w:asciiTheme="minorHAnsi" w:hAnsiTheme="minorHAnsi" w:cstheme="minorHAnsi"/>
          <w:color w:val="212121"/>
          <w:sz w:val="22"/>
          <w:szCs w:val="22"/>
        </w:rPr>
        <w:t xml:space="preserve">, </w:t>
      </w:r>
      <w:proofErr w:type="spellStart"/>
      <w:r w:rsidRPr="00E63A59">
        <w:rPr>
          <w:rStyle w:val="docsum-authors"/>
          <w:rFonts w:asciiTheme="minorHAnsi" w:hAnsiTheme="minorHAnsi" w:cstheme="minorHAnsi"/>
          <w:color w:val="212121"/>
          <w:sz w:val="22"/>
          <w:szCs w:val="22"/>
        </w:rPr>
        <w:t>Mielgo</w:t>
      </w:r>
      <w:proofErr w:type="spellEnd"/>
      <w:r w:rsidRPr="00E63A59">
        <w:rPr>
          <w:rStyle w:val="docsum-authors"/>
          <w:rFonts w:asciiTheme="minorHAnsi" w:hAnsiTheme="minorHAnsi" w:cstheme="minorHAnsi"/>
          <w:color w:val="212121"/>
          <w:sz w:val="22"/>
          <w:szCs w:val="22"/>
        </w:rPr>
        <w:t xml:space="preserve"> A, </w:t>
      </w:r>
      <w:proofErr w:type="spellStart"/>
      <w:r w:rsidRPr="00E63A59">
        <w:rPr>
          <w:rStyle w:val="docsum-authors"/>
          <w:rFonts w:asciiTheme="minorHAnsi" w:hAnsiTheme="minorHAnsi" w:cstheme="minorHAnsi"/>
          <w:color w:val="212121"/>
          <w:sz w:val="22"/>
          <w:szCs w:val="22"/>
        </w:rPr>
        <w:t>Schmid</w:t>
      </w:r>
      <w:proofErr w:type="spellEnd"/>
      <w:r w:rsidRPr="00E63A59">
        <w:rPr>
          <w:rStyle w:val="docsum-authors"/>
          <w:rFonts w:asciiTheme="minorHAnsi" w:hAnsiTheme="minorHAnsi" w:cstheme="minorHAnsi"/>
          <w:color w:val="212121"/>
          <w:sz w:val="22"/>
          <w:szCs w:val="22"/>
        </w:rPr>
        <w:t xml:space="preserve"> MC.</w:t>
      </w:r>
      <w:r w:rsidRPr="00E63A59">
        <w:rPr>
          <w:rStyle w:val="docsum-authors"/>
          <w:rFonts w:asciiTheme="minorHAnsi" w:hAnsiTheme="minorHAnsi" w:cstheme="minorHAnsi"/>
          <w:color w:val="212121"/>
          <w:sz w:val="22"/>
          <w:szCs w:val="22"/>
        </w:rPr>
        <w:t xml:space="preserve"> </w:t>
      </w:r>
      <w:hyperlink r:id="rId9" w:history="1">
        <w:proofErr w:type="spellStart"/>
        <w:r w:rsidRPr="00E63A59">
          <w:rPr>
            <w:rStyle w:val="Hyperlink"/>
            <w:rFonts w:asciiTheme="minorHAnsi" w:hAnsiTheme="minorHAnsi" w:cstheme="minorHAnsi"/>
            <w:color w:val="0071BC"/>
            <w:sz w:val="22"/>
            <w:szCs w:val="22"/>
            <w:shd w:val="clear" w:color="auto" w:fill="FFFFFF"/>
          </w:rPr>
          <w:t>Efferocytosis</w:t>
        </w:r>
        <w:proofErr w:type="spellEnd"/>
        <w:r w:rsidRPr="00E63A59">
          <w:rPr>
            <w:rStyle w:val="Hyperlink"/>
            <w:rFonts w:asciiTheme="minorHAnsi" w:hAnsiTheme="minorHAnsi" w:cstheme="minorHAnsi"/>
            <w:color w:val="0071BC"/>
            <w:sz w:val="22"/>
            <w:szCs w:val="22"/>
            <w:shd w:val="clear" w:color="auto" w:fill="FFFFFF"/>
          </w:rPr>
          <w:t xml:space="preserve"> reprograms the </w:t>
        </w:r>
        <w:proofErr w:type="spellStart"/>
        <w:r w:rsidRPr="00E63A59">
          <w:rPr>
            <w:rStyle w:val="Hyperlink"/>
            <w:rFonts w:asciiTheme="minorHAnsi" w:hAnsiTheme="minorHAnsi" w:cstheme="minorHAnsi"/>
            <w:color w:val="0071BC"/>
            <w:sz w:val="22"/>
            <w:szCs w:val="22"/>
            <w:shd w:val="clear" w:color="auto" w:fill="FFFFFF"/>
          </w:rPr>
          <w:t>tumor</w:t>
        </w:r>
        <w:proofErr w:type="spellEnd"/>
        <w:r w:rsidRPr="00E63A59">
          <w:rPr>
            <w:rStyle w:val="Hyperlink"/>
            <w:rFonts w:asciiTheme="minorHAnsi" w:hAnsiTheme="minorHAnsi" w:cstheme="minorHAnsi"/>
            <w:color w:val="0071BC"/>
            <w:sz w:val="22"/>
            <w:szCs w:val="22"/>
            <w:shd w:val="clear" w:color="auto" w:fill="FFFFFF"/>
          </w:rPr>
          <w:t xml:space="preserve"> microenvironment to promote pancreatic cancer liver metastasis.</w:t>
        </w:r>
      </w:hyperlink>
      <w:r w:rsidRPr="00E63A59">
        <w:rPr>
          <w:rFonts w:asciiTheme="minorHAnsi" w:hAnsiTheme="minorHAnsi" w:cstheme="minorHAnsi"/>
          <w:sz w:val="22"/>
          <w:szCs w:val="22"/>
        </w:rPr>
        <w:t xml:space="preserve">  </w:t>
      </w:r>
      <w:r w:rsidRPr="00E63A59">
        <w:rPr>
          <w:rStyle w:val="docsum-journal-citation"/>
          <w:rFonts w:asciiTheme="minorHAnsi" w:hAnsiTheme="minorHAnsi" w:cstheme="minorHAnsi"/>
          <w:color w:val="4D8055"/>
          <w:sz w:val="22"/>
          <w:szCs w:val="22"/>
        </w:rPr>
        <w:t xml:space="preserve">Nat Cancer. </w:t>
      </w:r>
      <w:proofErr w:type="gramStart"/>
      <w:r w:rsidRPr="00E63A59">
        <w:rPr>
          <w:rStyle w:val="docsum-journal-citation"/>
          <w:rFonts w:asciiTheme="minorHAnsi" w:hAnsiTheme="minorHAnsi" w:cstheme="minorHAnsi"/>
          <w:color w:val="4D8055"/>
          <w:sz w:val="22"/>
          <w:szCs w:val="22"/>
        </w:rPr>
        <w:t>2024</w:t>
      </w:r>
      <w:proofErr w:type="gramEnd"/>
      <w:r w:rsidRPr="00E63A59">
        <w:rPr>
          <w:rStyle w:val="docsum-journal-citation"/>
          <w:rFonts w:asciiTheme="minorHAnsi" w:hAnsiTheme="minorHAnsi" w:cstheme="minorHAnsi"/>
          <w:color w:val="4D8055"/>
          <w:sz w:val="22"/>
          <w:szCs w:val="22"/>
        </w:rPr>
        <w:t xml:space="preserve"> Feb 14. </w:t>
      </w:r>
      <w:proofErr w:type="spellStart"/>
      <w:proofErr w:type="gramStart"/>
      <w:r w:rsidRPr="00E63A59">
        <w:rPr>
          <w:rStyle w:val="docsum-journal-citation"/>
          <w:rFonts w:asciiTheme="minorHAnsi" w:hAnsiTheme="minorHAnsi" w:cstheme="minorHAnsi"/>
          <w:color w:val="4D8055"/>
          <w:sz w:val="22"/>
          <w:szCs w:val="22"/>
        </w:rPr>
        <w:t>doi</w:t>
      </w:r>
      <w:proofErr w:type="spellEnd"/>
      <w:proofErr w:type="gramEnd"/>
      <w:r w:rsidRPr="00E63A59">
        <w:rPr>
          <w:rStyle w:val="docsum-journal-citation"/>
          <w:rFonts w:asciiTheme="minorHAnsi" w:hAnsiTheme="minorHAnsi" w:cstheme="minorHAnsi"/>
          <w:color w:val="4D8055"/>
          <w:sz w:val="22"/>
          <w:szCs w:val="22"/>
        </w:rPr>
        <w:t xml:space="preserve">: 10.1038/s43018-024-00731-2. </w:t>
      </w:r>
    </w:p>
    <w:p w14:paraId="364D6AC2" w14:textId="77777777" w:rsidR="00E63A59" w:rsidRPr="00E63A59" w:rsidRDefault="00E63A59" w:rsidP="00E63A59">
      <w:pPr>
        <w:pStyle w:val="ListParagraph"/>
        <w:widowControl/>
        <w:autoSpaceDE/>
        <w:autoSpaceDN/>
        <w:adjustRightInd/>
        <w:spacing w:after="0"/>
        <w:rPr>
          <w:rStyle w:val="docsum-authors"/>
          <w:rFonts w:asciiTheme="minorHAnsi" w:hAnsiTheme="minorHAnsi" w:cstheme="minorHAnsi"/>
          <w:sz w:val="22"/>
          <w:szCs w:val="22"/>
        </w:rPr>
      </w:pPr>
    </w:p>
    <w:p w14:paraId="0AEBABEC" w14:textId="77777777" w:rsidR="009275C6" w:rsidRPr="002517E0" w:rsidRDefault="009275C6" w:rsidP="009275C6">
      <w:pPr>
        <w:pStyle w:val="ListParagraph"/>
        <w:widowControl/>
        <w:numPr>
          <w:ilvl w:val="0"/>
          <w:numId w:val="4"/>
        </w:numPr>
        <w:autoSpaceDE/>
        <w:autoSpaceDN/>
        <w:adjustRightInd/>
        <w:spacing w:after="0"/>
        <w:rPr>
          <w:rStyle w:val="docsum-journal-citation"/>
          <w:rFonts w:cstheme="minorHAnsi"/>
        </w:rPr>
      </w:pPr>
      <w:proofErr w:type="spellStart"/>
      <w:r w:rsidRPr="002517E0">
        <w:rPr>
          <w:rStyle w:val="docsum-authors"/>
          <w:rFonts w:asciiTheme="minorHAnsi" w:hAnsiTheme="minorHAnsi" w:cstheme="minorHAnsi"/>
          <w:sz w:val="22"/>
          <w:szCs w:val="22"/>
        </w:rPr>
        <w:t>Canel</w:t>
      </w:r>
      <w:proofErr w:type="spellEnd"/>
      <w:r w:rsidRPr="002517E0">
        <w:rPr>
          <w:rStyle w:val="docsum-authors"/>
          <w:rFonts w:asciiTheme="minorHAnsi" w:hAnsiTheme="minorHAnsi" w:cstheme="minorHAnsi"/>
          <w:sz w:val="22"/>
          <w:szCs w:val="22"/>
        </w:rPr>
        <w:t xml:space="preserve"> M, </w:t>
      </w:r>
      <w:proofErr w:type="spellStart"/>
      <w:r w:rsidRPr="002517E0">
        <w:rPr>
          <w:rStyle w:val="docsum-authors"/>
          <w:rFonts w:asciiTheme="minorHAnsi" w:hAnsiTheme="minorHAnsi" w:cstheme="minorHAnsi"/>
          <w:sz w:val="22"/>
          <w:szCs w:val="22"/>
        </w:rPr>
        <w:t>Sławińska</w:t>
      </w:r>
      <w:proofErr w:type="spellEnd"/>
      <w:r w:rsidRPr="002517E0">
        <w:rPr>
          <w:rStyle w:val="docsum-authors"/>
          <w:rFonts w:asciiTheme="minorHAnsi" w:hAnsiTheme="minorHAnsi" w:cstheme="minorHAnsi"/>
          <w:sz w:val="22"/>
          <w:szCs w:val="22"/>
        </w:rPr>
        <w:t xml:space="preserve"> AD, </w:t>
      </w:r>
      <w:proofErr w:type="spellStart"/>
      <w:r w:rsidRPr="002517E0">
        <w:rPr>
          <w:rStyle w:val="docsum-authors"/>
          <w:rFonts w:asciiTheme="minorHAnsi" w:hAnsiTheme="minorHAnsi" w:cstheme="minorHAnsi"/>
          <w:sz w:val="22"/>
          <w:szCs w:val="22"/>
        </w:rPr>
        <w:t>Lonergan</w:t>
      </w:r>
      <w:proofErr w:type="spellEnd"/>
      <w:r w:rsidRPr="002517E0">
        <w:rPr>
          <w:rStyle w:val="docsum-authors"/>
          <w:rFonts w:asciiTheme="minorHAnsi" w:hAnsiTheme="minorHAnsi" w:cstheme="minorHAnsi"/>
          <w:sz w:val="22"/>
          <w:szCs w:val="22"/>
        </w:rPr>
        <w:t xml:space="preserve"> DW, </w:t>
      </w:r>
      <w:proofErr w:type="spellStart"/>
      <w:r w:rsidRPr="002517E0">
        <w:rPr>
          <w:rStyle w:val="docsum-authors"/>
          <w:rFonts w:asciiTheme="minorHAnsi" w:hAnsiTheme="minorHAnsi" w:cstheme="minorHAnsi"/>
          <w:sz w:val="22"/>
          <w:szCs w:val="22"/>
        </w:rPr>
        <w:t>Kallor</w:t>
      </w:r>
      <w:proofErr w:type="spellEnd"/>
      <w:r w:rsidRPr="002517E0">
        <w:rPr>
          <w:rStyle w:val="docsum-authors"/>
          <w:rFonts w:asciiTheme="minorHAnsi" w:hAnsiTheme="minorHAnsi" w:cstheme="minorHAnsi"/>
          <w:sz w:val="22"/>
          <w:szCs w:val="22"/>
        </w:rPr>
        <w:t xml:space="preserve"> AA, Upstill-Goddard R, Davidson C, von </w:t>
      </w:r>
      <w:proofErr w:type="spellStart"/>
      <w:r w:rsidRPr="002517E0">
        <w:rPr>
          <w:rStyle w:val="docsum-authors"/>
          <w:rFonts w:asciiTheme="minorHAnsi" w:hAnsiTheme="minorHAnsi" w:cstheme="minorHAnsi"/>
          <w:sz w:val="22"/>
          <w:szCs w:val="22"/>
        </w:rPr>
        <w:t>Kriegsheim</w:t>
      </w:r>
      <w:proofErr w:type="spellEnd"/>
      <w:r w:rsidRPr="002517E0">
        <w:rPr>
          <w:rStyle w:val="docsum-authors"/>
          <w:rFonts w:asciiTheme="minorHAnsi" w:hAnsiTheme="minorHAnsi" w:cstheme="minorHAnsi"/>
          <w:sz w:val="22"/>
          <w:szCs w:val="22"/>
        </w:rPr>
        <w:t xml:space="preserve"> A, Biankin AV, Byron A, Alfaro J, </w:t>
      </w:r>
      <w:r w:rsidRPr="002517E0">
        <w:rPr>
          <w:rStyle w:val="docsum-authors"/>
          <w:rFonts w:asciiTheme="minorHAnsi" w:hAnsiTheme="minorHAnsi" w:cstheme="minorHAnsi"/>
          <w:b/>
          <w:bCs/>
          <w:sz w:val="22"/>
          <w:szCs w:val="22"/>
        </w:rPr>
        <w:t>Serrels A.</w:t>
      </w:r>
      <w:r w:rsidRPr="002517E0">
        <w:rPr>
          <w:rStyle w:val="docsum-authors"/>
          <w:rFonts w:cstheme="minorHAnsi"/>
          <w:b/>
          <w:bCs/>
          <w:sz w:val="22"/>
          <w:szCs w:val="22"/>
        </w:rPr>
        <w:t xml:space="preserve"> </w:t>
      </w:r>
      <w:hyperlink r:id="rId10" w:history="1">
        <w:r w:rsidRPr="002517E0">
          <w:rPr>
            <w:rStyle w:val="Hyperlink"/>
            <w:rFonts w:asciiTheme="minorHAnsi" w:hAnsiTheme="minorHAnsi" w:cstheme="minorHAnsi"/>
            <w:sz w:val="22"/>
            <w:szCs w:val="22"/>
            <w:shd w:val="clear" w:color="auto" w:fill="FFFFFF"/>
          </w:rPr>
          <w:t>FAK suppresses antigen processing and presentation to promote immune evasion in pancreatic cancer.</w:t>
        </w:r>
      </w:hyperlink>
      <w:r w:rsidRPr="002517E0">
        <w:rPr>
          <w:rFonts w:cstheme="minorHAnsi"/>
          <w:sz w:val="22"/>
          <w:szCs w:val="22"/>
        </w:rPr>
        <w:t xml:space="preserve"> </w:t>
      </w:r>
      <w:r w:rsidRPr="002517E0">
        <w:rPr>
          <w:rStyle w:val="docsum-journal-citation"/>
          <w:rFonts w:asciiTheme="minorHAnsi" w:hAnsiTheme="minorHAnsi" w:cstheme="minorHAnsi"/>
          <w:sz w:val="22"/>
          <w:szCs w:val="22"/>
        </w:rPr>
        <w:t>Gut. 2023 Dec 7;73(1):131-155</w:t>
      </w:r>
    </w:p>
    <w:p w14:paraId="0E2F2712" w14:textId="77777777" w:rsidR="009275C6" w:rsidRPr="002517E0" w:rsidRDefault="009275C6" w:rsidP="009275C6">
      <w:pPr>
        <w:pStyle w:val="ListParagraph"/>
        <w:widowControl/>
        <w:numPr>
          <w:ilvl w:val="0"/>
          <w:numId w:val="4"/>
        </w:numPr>
        <w:autoSpaceDE/>
        <w:autoSpaceDN/>
        <w:adjustRightInd/>
        <w:spacing w:after="0"/>
        <w:rPr>
          <w:rFonts w:cstheme="minorHAnsi"/>
          <w:sz w:val="22"/>
          <w:szCs w:val="22"/>
        </w:rPr>
      </w:pPr>
      <w:r w:rsidRPr="002517E0">
        <w:rPr>
          <w:rStyle w:val="docsum-authors"/>
          <w:rFonts w:asciiTheme="minorHAnsi" w:hAnsiTheme="minorHAnsi" w:cstheme="minorHAnsi"/>
          <w:sz w:val="22"/>
          <w:szCs w:val="22"/>
        </w:rPr>
        <w:t xml:space="preserve">Bailey P, Ridgway RA, </w:t>
      </w:r>
      <w:proofErr w:type="spellStart"/>
      <w:r w:rsidRPr="002517E0">
        <w:rPr>
          <w:rStyle w:val="docsum-authors"/>
          <w:rFonts w:asciiTheme="minorHAnsi" w:hAnsiTheme="minorHAnsi" w:cstheme="minorHAnsi"/>
          <w:sz w:val="22"/>
          <w:szCs w:val="22"/>
        </w:rPr>
        <w:t>Cammareri</w:t>
      </w:r>
      <w:proofErr w:type="spellEnd"/>
      <w:r w:rsidRPr="002517E0">
        <w:rPr>
          <w:rStyle w:val="docsum-authors"/>
          <w:rFonts w:asciiTheme="minorHAnsi" w:hAnsiTheme="minorHAnsi" w:cstheme="minorHAnsi"/>
          <w:sz w:val="22"/>
          <w:szCs w:val="22"/>
        </w:rPr>
        <w:t xml:space="preserve"> P, Treanor-Taylor M, Bailey UM, Schoenherr C, Bone M, Schreyer D, Purdie K, Thomson J, </w:t>
      </w:r>
      <w:proofErr w:type="spellStart"/>
      <w:r w:rsidRPr="002517E0">
        <w:rPr>
          <w:rStyle w:val="docsum-authors"/>
          <w:rFonts w:asciiTheme="minorHAnsi" w:hAnsiTheme="minorHAnsi" w:cstheme="minorHAnsi"/>
          <w:sz w:val="22"/>
          <w:szCs w:val="22"/>
        </w:rPr>
        <w:t>Rickaby</w:t>
      </w:r>
      <w:proofErr w:type="spellEnd"/>
      <w:r w:rsidRPr="002517E0">
        <w:rPr>
          <w:rStyle w:val="docsum-authors"/>
          <w:rFonts w:asciiTheme="minorHAnsi" w:hAnsiTheme="minorHAnsi" w:cstheme="minorHAnsi"/>
          <w:sz w:val="22"/>
          <w:szCs w:val="22"/>
        </w:rPr>
        <w:t xml:space="preserve"> W, Jackstadt R, Campbell AD, </w:t>
      </w:r>
      <w:proofErr w:type="spellStart"/>
      <w:r w:rsidRPr="002517E0">
        <w:rPr>
          <w:rStyle w:val="docsum-authors"/>
          <w:rFonts w:asciiTheme="minorHAnsi" w:hAnsiTheme="minorHAnsi" w:cstheme="minorHAnsi"/>
          <w:sz w:val="22"/>
          <w:szCs w:val="22"/>
        </w:rPr>
        <w:t>Dimonitsas</w:t>
      </w:r>
      <w:proofErr w:type="spellEnd"/>
      <w:r w:rsidRPr="002517E0">
        <w:rPr>
          <w:rStyle w:val="docsum-authors"/>
          <w:rFonts w:asciiTheme="minorHAnsi" w:hAnsiTheme="minorHAnsi" w:cstheme="minorHAnsi"/>
          <w:sz w:val="22"/>
          <w:szCs w:val="22"/>
        </w:rPr>
        <w:t xml:space="preserve"> E, </w:t>
      </w:r>
      <w:proofErr w:type="spellStart"/>
      <w:r w:rsidRPr="002517E0">
        <w:rPr>
          <w:rStyle w:val="docsum-authors"/>
          <w:rFonts w:asciiTheme="minorHAnsi" w:hAnsiTheme="minorHAnsi" w:cstheme="minorHAnsi"/>
          <w:sz w:val="22"/>
          <w:szCs w:val="22"/>
        </w:rPr>
        <w:t>Stratigos</w:t>
      </w:r>
      <w:proofErr w:type="spellEnd"/>
      <w:r w:rsidRPr="002517E0">
        <w:rPr>
          <w:rStyle w:val="docsum-authors"/>
          <w:rFonts w:asciiTheme="minorHAnsi" w:hAnsiTheme="minorHAnsi" w:cstheme="minorHAnsi"/>
          <w:sz w:val="22"/>
          <w:szCs w:val="22"/>
        </w:rPr>
        <w:t xml:space="preserve"> AJ, Arron ST, Wang J, Blyth K, Proby CM, Harwood CA, Sansom OJ, Leigh IM, </w:t>
      </w:r>
      <w:r w:rsidRPr="002517E0">
        <w:rPr>
          <w:rStyle w:val="docsum-authors"/>
          <w:rFonts w:asciiTheme="minorHAnsi" w:hAnsiTheme="minorHAnsi" w:cstheme="minorHAnsi"/>
          <w:b/>
          <w:bCs/>
          <w:sz w:val="22"/>
          <w:szCs w:val="22"/>
        </w:rPr>
        <w:t>Inman GJ</w:t>
      </w:r>
      <w:r w:rsidRPr="002517E0">
        <w:rPr>
          <w:rStyle w:val="docsum-authors"/>
          <w:rFonts w:cstheme="minorHAnsi"/>
          <w:b/>
          <w:bCs/>
          <w:sz w:val="22"/>
          <w:szCs w:val="22"/>
        </w:rPr>
        <w:t xml:space="preserve">. </w:t>
      </w:r>
      <w:hyperlink r:id="rId11" w:history="1">
        <w:r w:rsidRPr="002517E0">
          <w:rPr>
            <w:rStyle w:val="Hyperlink"/>
            <w:rFonts w:asciiTheme="minorHAnsi" w:hAnsiTheme="minorHAnsi" w:cstheme="minorHAnsi"/>
            <w:sz w:val="22"/>
            <w:szCs w:val="22"/>
            <w:shd w:val="clear" w:color="auto" w:fill="FFFFFF"/>
          </w:rPr>
          <w:t>Driver gene combinations dictate cutaneous squamous cell carcinoma disease continuum progression.</w:t>
        </w:r>
      </w:hyperlink>
      <w:r w:rsidRPr="002517E0">
        <w:rPr>
          <w:rFonts w:cstheme="minorHAnsi"/>
          <w:sz w:val="22"/>
          <w:szCs w:val="22"/>
        </w:rPr>
        <w:t xml:space="preserve"> </w:t>
      </w:r>
      <w:r w:rsidRPr="002517E0">
        <w:rPr>
          <w:rStyle w:val="docsum-journal-citation"/>
          <w:rFonts w:asciiTheme="minorHAnsi" w:hAnsiTheme="minorHAnsi" w:cstheme="minorHAnsi"/>
          <w:sz w:val="22"/>
          <w:szCs w:val="22"/>
        </w:rPr>
        <w:t xml:space="preserve">Nat </w:t>
      </w:r>
      <w:proofErr w:type="spellStart"/>
      <w:r w:rsidRPr="002517E0">
        <w:rPr>
          <w:rStyle w:val="docsum-journal-citation"/>
          <w:rFonts w:asciiTheme="minorHAnsi" w:hAnsiTheme="minorHAnsi" w:cstheme="minorHAnsi"/>
          <w:sz w:val="22"/>
          <w:szCs w:val="22"/>
        </w:rPr>
        <w:t>Commun</w:t>
      </w:r>
      <w:proofErr w:type="spellEnd"/>
      <w:r w:rsidRPr="002517E0">
        <w:rPr>
          <w:rStyle w:val="docsum-journal-citation"/>
          <w:rFonts w:asciiTheme="minorHAnsi" w:hAnsiTheme="minorHAnsi" w:cstheme="minorHAnsi"/>
          <w:sz w:val="22"/>
          <w:szCs w:val="22"/>
        </w:rPr>
        <w:t>. 2023 Aug 25</w:t>
      </w:r>
      <w:proofErr w:type="gramStart"/>
      <w:r w:rsidRPr="002517E0">
        <w:rPr>
          <w:rStyle w:val="docsum-journal-citation"/>
          <w:rFonts w:asciiTheme="minorHAnsi" w:hAnsiTheme="minorHAnsi" w:cstheme="minorHAnsi"/>
          <w:sz w:val="22"/>
          <w:szCs w:val="22"/>
        </w:rPr>
        <w:t>;14</w:t>
      </w:r>
      <w:proofErr w:type="gramEnd"/>
      <w:r w:rsidRPr="002517E0">
        <w:rPr>
          <w:rStyle w:val="docsum-journal-citation"/>
          <w:rFonts w:asciiTheme="minorHAnsi" w:hAnsiTheme="minorHAnsi" w:cstheme="minorHAnsi"/>
          <w:sz w:val="22"/>
          <w:szCs w:val="22"/>
        </w:rPr>
        <w:t>(1):5211.</w:t>
      </w:r>
    </w:p>
    <w:p w14:paraId="4EBF7835" w14:textId="77777777" w:rsidR="009275C6" w:rsidRPr="00FD38A7" w:rsidRDefault="009275C6" w:rsidP="00FC22E0">
      <w:pPr>
        <w:jc w:val="both"/>
        <w:rPr>
          <w:b/>
          <w:bCs/>
          <w:sz w:val="22"/>
          <w:szCs w:val="22"/>
        </w:rPr>
      </w:pPr>
    </w:p>
    <w:p w14:paraId="7C37F84D" w14:textId="77777777" w:rsidR="002E79A8" w:rsidRPr="0007041D" w:rsidRDefault="002E79A8" w:rsidP="00FC22E0">
      <w:pPr>
        <w:jc w:val="both"/>
        <w:rPr>
          <w:sz w:val="22"/>
          <w:szCs w:val="22"/>
        </w:rPr>
      </w:pPr>
    </w:p>
    <w:p w14:paraId="6F539C86" w14:textId="3D3EEDFF" w:rsidR="0007041D" w:rsidRPr="0007041D" w:rsidRDefault="004C20F6">
      <w:pPr>
        <w:rPr>
          <w:sz w:val="22"/>
          <w:szCs w:val="22"/>
        </w:rPr>
      </w:pPr>
      <w:r w:rsidRPr="0007041D">
        <w:rPr>
          <w:sz w:val="22"/>
          <w:szCs w:val="22"/>
        </w:rPr>
        <w:t xml:space="preserve"> </w:t>
      </w:r>
    </w:p>
    <w:sectPr w:rsidR="0007041D"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linGothic-Heavy">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0000000000000000000"/>
    <w:charset w:val="80"/>
    <w:family w:val="roman"/>
    <w:notTrueType/>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977A53"/>
    <w:multiLevelType w:val="hybridMultilevel"/>
    <w:tmpl w:val="AA0C168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4F08"/>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7343C"/>
    <w:rsid w:val="00783754"/>
    <w:rsid w:val="0079183B"/>
    <w:rsid w:val="007B1387"/>
    <w:rsid w:val="007B3DB6"/>
    <w:rsid w:val="007E1B8D"/>
    <w:rsid w:val="00806088"/>
    <w:rsid w:val="008234BB"/>
    <w:rsid w:val="00834F66"/>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5C6"/>
    <w:rsid w:val="00927A43"/>
    <w:rsid w:val="009443A5"/>
    <w:rsid w:val="00957354"/>
    <w:rsid w:val="00957F6F"/>
    <w:rsid w:val="009615E1"/>
    <w:rsid w:val="0097223C"/>
    <w:rsid w:val="009A1B38"/>
    <w:rsid w:val="009A24A1"/>
    <w:rsid w:val="009A2E79"/>
    <w:rsid w:val="009A4D07"/>
    <w:rsid w:val="009B3608"/>
    <w:rsid w:val="009B730B"/>
    <w:rsid w:val="009C173E"/>
    <w:rsid w:val="009C4F5C"/>
    <w:rsid w:val="009D34FD"/>
    <w:rsid w:val="009E4293"/>
    <w:rsid w:val="009E5CBB"/>
    <w:rsid w:val="009F48E8"/>
    <w:rsid w:val="00A15748"/>
    <w:rsid w:val="00A20648"/>
    <w:rsid w:val="00A209D5"/>
    <w:rsid w:val="00A22819"/>
    <w:rsid w:val="00A40DCB"/>
    <w:rsid w:val="00A54AE9"/>
    <w:rsid w:val="00A669DB"/>
    <w:rsid w:val="00A67A03"/>
    <w:rsid w:val="00A842A5"/>
    <w:rsid w:val="00AA284E"/>
    <w:rsid w:val="00AC0FF1"/>
    <w:rsid w:val="00AC6F46"/>
    <w:rsid w:val="00AF1722"/>
    <w:rsid w:val="00B044A3"/>
    <w:rsid w:val="00B12A3C"/>
    <w:rsid w:val="00B26EB5"/>
    <w:rsid w:val="00B30596"/>
    <w:rsid w:val="00B359A2"/>
    <w:rsid w:val="00B402B9"/>
    <w:rsid w:val="00B60679"/>
    <w:rsid w:val="00B6331F"/>
    <w:rsid w:val="00B77342"/>
    <w:rsid w:val="00B777F1"/>
    <w:rsid w:val="00B83B9D"/>
    <w:rsid w:val="00B86BB9"/>
    <w:rsid w:val="00BA0B78"/>
    <w:rsid w:val="00BF0AF2"/>
    <w:rsid w:val="00BF0D1F"/>
    <w:rsid w:val="00BF662F"/>
    <w:rsid w:val="00C032DA"/>
    <w:rsid w:val="00C11429"/>
    <w:rsid w:val="00C12124"/>
    <w:rsid w:val="00C171BF"/>
    <w:rsid w:val="00C449A1"/>
    <w:rsid w:val="00C72052"/>
    <w:rsid w:val="00C77662"/>
    <w:rsid w:val="00C91143"/>
    <w:rsid w:val="00C91D53"/>
    <w:rsid w:val="00C92CA8"/>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3A59"/>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66B2772F-2CAD-844B-AD4F-3871D9AFD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paragraph" w:customStyle="1" w:styleId="Bodycopy">
    <w:name w:val="Body copy"/>
    <w:basedOn w:val="Normal"/>
    <w:link w:val="BodycopyChar"/>
    <w:qFormat/>
    <w:rsid w:val="00C92CA8"/>
    <w:pPr>
      <w:widowControl w:val="0"/>
      <w:autoSpaceDE w:val="0"/>
      <w:autoSpaceDN w:val="0"/>
      <w:adjustRightInd w:val="0"/>
      <w:spacing w:after="120"/>
      <w:contextualSpacing/>
    </w:pPr>
    <w:rPr>
      <w:rFonts w:cs="Calibri"/>
    </w:rPr>
  </w:style>
  <w:style w:type="character" w:customStyle="1" w:styleId="BodycopyChar">
    <w:name w:val="Body copy Char"/>
    <w:basedOn w:val="DefaultParagraphFont"/>
    <w:link w:val="Bodycopy"/>
    <w:rsid w:val="00C92CA8"/>
    <w:rPr>
      <w:rFonts w:cs="Calibri"/>
    </w:rPr>
  </w:style>
  <w:style w:type="paragraph" w:styleId="ListParagraph">
    <w:name w:val="List Paragraph"/>
    <w:basedOn w:val="Normal"/>
    <w:link w:val="ListParagraphChar"/>
    <w:uiPriority w:val="34"/>
    <w:qFormat/>
    <w:rsid w:val="009275C6"/>
    <w:pPr>
      <w:widowControl w:val="0"/>
      <w:autoSpaceDE w:val="0"/>
      <w:autoSpaceDN w:val="0"/>
      <w:adjustRightInd w:val="0"/>
      <w:spacing w:after="120"/>
      <w:ind w:left="720"/>
      <w:contextualSpacing/>
    </w:pPr>
    <w:rPr>
      <w:rFonts w:ascii="Calibri" w:hAnsi="Calibri" w:cs="Calibri"/>
    </w:rPr>
  </w:style>
  <w:style w:type="character" w:customStyle="1" w:styleId="ListParagraphChar">
    <w:name w:val="List Paragraph Char"/>
    <w:basedOn w:val="DefaultParagraphFont"/>
    <w:link w:val="ListParagraph"/>
    <w:uiPriority w:val="34"/>
    <w:rsid w:val="009275C6"/>
    <w:rPr>
      <w:rFonts w:ascii="Calibri" w:hAnsi="Calibri" w:cs="Calibri"/>
    </w:rPr>
  </w:style>
  <w:style w:type="character" w:customStyle="1" w:styleId="docsum-authors">
    <w:name w:val="docsum-authors"/>
    <w:basedOn w:val="DefaultParagraphFont"/>
    <w:rsid w:val="009275C6"/>
  </w:style>
  <w:style w:type="character" w:customStyle="1" w:styleId="docsum-journal-citation">
    <w:name w:val="docsum-journal-citation"/>
    <w:basedOn w:val="DefaultParagraphFont"/>
    <w:rsid w:val="009275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606234266">
      <w:bodyDiv w:val="1"/>
      <w:marLeft w:val="0"/>
      <w:marRight w:val="0"/>
      <w:marTop w:val="0"/>
      <w:marBottom w:val="0"/>
      <w:divBdr>
        <w:top w:val="none" w:sz="0" w:space="0" w:color="auto"/>
        <w:left w:val="none" w:sz="0" w:space="0" w:color="auto"/>
        <w:bottom w:val="none" w:sz="0" w:space="0" w:color="auto"/>
        <w:right w:val="none" w:sz="0" w:space="0" w:color="auto"/>
      </w:divBdr>
      <w:divsChild>
        <w:div w:id="481653182">
          <w:marLeft w:val="0"/>
          <w:marRight w:val="0"/>
          <w:marTop w:val="0"/>
          <w:marBottom w:val="0"/>
          <w:divBdr>
            <w:top w:val="none" w:sz="0" w:space="0" w:color="auto"/>
            <w:left w:val="none" w:sz="0" w:space="0" w:color="auto"/>
            <w:bottom w:val="none" w:sz="0" w:space="0" w:color="auto"/>
            <w:right w:val="none" w:sz="0" w:space="0" w:color="auto"/>
          </w:divBdr>
        </w:div>
      </w:divsChild>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34356885/"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pubmed.ncbi.nlm.nih.gov/34789870/" TargetMode="Externa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hyperlink" Target="https://www.crukscotlandinstitute.ac.uk/cruk-si-research/cruk-si-research-groups/jennifer-morton-preclinical-prancreatic-cancer.html" TargetMode="External"/><Relationship Id="rId11" Type="http://schemas.openxmlformats.org/officeDocument/2006/relationships/hyperlink" Target="https://pubmed.ncbi.nlm.nih.gov/37626054/" TargetMode="External"/><Relationship Id="rId5" Type="http://schemas.openxmlformats.org/officeDocument/2006/relationships/image" Target="media/image1.jpeg"/><Relationship Id="rId15" Type="http://schemas.openxmlformats.org/officeDocument/2006/relationships/customXml" Target="../customXml/item2.xml"/><Relationship Id="rId10" Type="http://schemas.openxmlformats.org/officeDocument/2006/relationships/hyperlink" Target="https://pubmed.ncbi.nlm.nih.gov/36977556/" TargetMode="External"/><Relationship Id="rId4" Type="http://schemas.openxmlformats.org/officeDocument/2006/relationships/webSettings" Target="webSettings.xml"/><Relationship Id="rId9" Type="http://schemas.openxmlformats.org/officeDocument/2006/relationships/hyperlink" Target="https://pubmed.ncbi.nlm.nih.gov/38355776/" TargetMode="External"/><Relationship Id="rId14"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EE8A7F1-6C86-407B-B981-CA056CBCF8BB}"/>
</file>

<file path=customXml/itemProps2.xml><?xml version="1.0" encoding="utf-8"?>
<ds:datastoreItem xmlns:ds="http://schemas.openxmlformats.org/officeDocument/2006/customXml" ds:itemID="{CA34329C-CA3F-4683-A624-8FB988F6DC67}"/>
</file>

<file path=customXml/itemProps3.xml><?xml version="1.0" encoding="utf-8"?>
<ds:datastoreItem xmlns:ds="http://schemas.openxmlformats.org/officeDocument/2006/customXml" ds:itemID="{6CBD2CEC-0C84-4C44-9C8B-3C7F0CF0E59C}"/>
</file>

<file path=docProps/app.xml><?xml version="1.0" encoding="utf-8"?>
<Properties xmlns="http://schemas.openxmlformats.org/officeDocument/2006/extended-properties" xmlns:vt="http://schemas.openxmlformats.org/officeDocument/2006/docPropsVTypes">
  <Template>Normal</Template>
  <TotalTime>2</TotalTime>
  <Pages>3</Pages>
  <Words>1090</Words>
  <Characters>6217</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Gareth Inman</cp:lastModifiedBy>
  <cp:revision>3</cp:revision>
  <dcterms:created xsi:type="dcterms:W3CDTF">2024-04-22T16:18:00Z</dcterms:created>
  <dcterms:modified xsi:type="dcterms:W3CDTF">2024-04-22T16:20:00Z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