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0B4B82A5" w14:textId="64950CB3" w:rsidR="003B7946" w:rsidRPr="003B7946" w:rsidRDefault="003B7946" w:rsidP="00FC22E0">
      <w:pPr>
        <w:jc w:val="both"/>
        <w:rPr>
          <w:b/>
          <w:bCs/>
          <w:sz w:val="22"/>
          <w:szCs w:val="22"/>
        </w:rPr>
      </w:pPr>
      <w:r w:rsidRPr="003B7946">
        <w:rPr>
          <w:b/>
          <w:bCs/>
          <w:sz w:val="22"/>
          <w:szCs w:val="22"/>
        </w:rPr>
        <w:t>TRACC</w:t>
      </w:r>
      <w:r w:rsidR="0077343C">
        <w:rPr>
          <w:b/>
          <w:bCs/>
          <w:sz w:val="22"/>
          <w:szCs w:val="22"/>
        </w:rPr>
        <w:t>+</w:t>
      </w:r>
      <w:r w:rsidRPr="003B7946">
        <w:rPr>
          <w:b/>
          <w:bCs/>
          <w:sz w:val="22"/>
          <w:szCs w:val="22"/>
        </w:rPr>
        <w:t xml:space="preserve">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3E9917A9"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TRACC</w:t>
      </w:r>
      <w:r w:rsidR="0077343C">
        <w:rPr>
          <w:rFonts w:ascii="Calibri" w:eastAsia="Times New Roman" w:hAnsi="Calibri" w:cs="FranklinGothic-Heavy"/>
          <w:sz w:val="22"/>
          <w:szCs w:val="22"/>
          <w:lang w:eastAsia="en-GB"/>
        </w:rPr>
        <w:t>+</w:t>
      </w:r>
      <w:r w:rsidRPr="003B7946">
        <w:rPr>
          <w:rFonts w:ascii="Calibri" w:eastAsia="Times New Roman" w:hAnsi="Calibri" w:cs="FranklinGothic-Heavy"/>
          <w:sz w:val="22"/>
          <w:szCs w:val="22"/>
          <w:lang w:eastAsia="en-GB"/>
        </w:rPr>
        <w:t xml:space="preserve"> (to </w:t>
      </w:r>
      <w:r w:rsidRPr="0077343C">
        <w:rPr>
          <w:rFonts w:ascii="Calibri" w:eastAsia="Times New Roman" w:hAnsi="Calibri" w:cs="FranklinGothic-Heavy"/>
          <w:b/>
          <w:bCs/>
          <w:sz w:val="22"/>
          <w:szCs w:val="22"/>
          <w:lang w:eastAsia="en-GB"/>
        </w:rPr>
        <w:t>T</w:t>
      </w:r>
      <w:r w:rsidRPr="003B7946">
        <w:rPr>
          <w:rFonts w:ascii="Calibri" w:eastAsia="Times New Roman" w:hAnsi="Calibri" w:cs="FranklinGothic-Heavy"/>
          <w:sz w:val="22"/>
          <w:szCs w:val="22"/>
          <w:lang w:eastAsia="en-GB"/>
        </w:rPr>
        <w:t xml:space="preserve">rain and </w:t>
      </w:r>
      <w:r w:rsidRPr="0077343C">
        <w:rPr>
          <w:rFonts w:ascii="Calibri" w:eastAsia="Times New Roman" w:hAnsi="Calibri" w:cs="FranklinGothic-Heavy"/>
          <w:b/>
          <w:bCs/>
          <w:sz w:val="22"/>
          <w:szCs w:val="22"/>
          <w:lang w:eastAsia="en-GB"/>
        </w:rPr>
        <w:t>R</w:t>
      </w:r>
      <w:r w:rsidRPr="003B7946">
        <w:rPr>
          <w:rFonts w:ascii="Calibri" w:eastAsia="Times New Roman" w:hAnsi="Calibri" w:cs="FranklinGothic-Heavy"/>
          <w:sz w:val="22"/>
          <w:szCs w:val="22"/>
          <w:lang w:eastAsia="en-GB"/>
        </w:rPr>
        <w:t xml:space="preserve">etain </w:t>
      </w:r>
      <w:r w:rsidRPr="0077343C">
        <w:rPr>
          <w:rFonts w:ascii="Calibri" w:eastAsia="Times New Roman" w:hAnsi="Calibri" w:cs="FranklinGothic-Heavy"/>
          <w:b/>
          <w:bCs/>
          <w:sz w:val="22"/>
          <w:szCs w:val="22"/>
          <w:lang w:eastAsia="en-GB"/>
        </w:rPr>
        <w:t>A</w:t>
      </w:r>
      <w:r w:rsidRPr="003B7946">
        <w:rPr>
          <w:rFonts w:ascii="Calibri" w:eastAsia="Times New Roman" w:hAnsi="Calibri" w:cs="FranklinGothic-Heavy"/>
          <w:sz w:val="22"/>
          <w:szCs w:val="22"/>
          <w:lang w:eastAsia="en-GB"/>
        </w:rPr>
        <w:t xml:space="preserve">cademic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 xml:space="preserve">ancer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linicians</w:t>
      </w:r>
      <w:r w:rsidR="0077343C">
        <w:rPr>
          <w:rFonts w:ascii="Calibri" w:eastAsia="Times New Roman" w:hAnsi="Calibri" w:cs="FranklinGothic-Heavy"/>
          <w:sz w:val="22"/>
          <w:szCs w:val="22"/>
          <w:lang w:eastAsia="en-GB"/>
        </w:rPr>
        <w:t xml:space="preserve"> Plus</w:t>
      </w:r>
      <w:r w:rsidRPr="003B7946">
        <w:rPr>
          <w:rFonts w:ascii="Calibri" w:eastAsia="Times New Roman" w:hAnsi="Calibri" w:cs="FranklinGothic-Heavy"/>
          <w:sz w:val="22"/>
          <w:szCs w:val="22"/>
          <w:lang w:eastAsia="en-GB"/>
        </w:rPr>
        <w:t xml:space="preserve">)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18FC0473" w14:textId="2F4B3E9F" w:rsidR="001B4043" w:rsidRPr="001B4043" w:rsidRDefault="00A40DCB" w:rsidP="001B4043">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r w:rsidR="001B4043" w:rsidRPr="001B4043">
        <w:rPr>
          <w:rFonts w:cstheme="minorHAnsi"/>
          <w:b/>
          <w:bCs/>
          <w:sz w:val="22"/>
          <w:szCs w:val="22"/>
        </w:rPr>
        <w:t>Elucidating the role of protein translation elongation in CML through modulation of the eEF2K/eEF2 signalling axis</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64BF9544" w14:textId="30573BF9" w:rsidR="00456A87" w:rsidRDefault="00456A87" w:rsidP="00FC22E0">
      <w:pPr>
        <w:jc w:val="both"/>
        <w:rPr>
          <w:sz w:val="22"/>
          <w:szCs w:val="22"/>
        </w:rPr>
      </w:pPr>
      <w:r>
        <w:rPr>
          <w:sz w:val="22"/>
          <w:szCs w:val="22"/>
        </w:rPr>
        <w:t xml:space="preserve">Supervisors: Alison Michie, Heather Jorgensen and </w:t>
      </w:r>
      <w:proofErr w:type="spellStart"/>
      <w:r>
        <w:rPr>
          <w:sz w:val="22"/>
          <w:szCs w:val="22"/>
        </w:rPr>
        <w:t>Mhairi</w:t>
      </w:r>
      <w:proofErr w:type="spellEnd"/>
      <w:r>
        <w:rPr>
          <w:sz w:val="22"/>
          <w:szCs w:val="22"/>
        </w:rPr>
        <w:t xml:space="preserve"> Copland - Paul O’Gorman Leukaemia Research Centre</w:t>
      </w:r>
    </w:p>
    <w:p w14:paraId="7E47DB57" w14:textId="575D20D3" w:rsidR="00456A87" w:rsidRDefault="00456A87" w:rsidP="00FC22E0">
      <w:pPr>
        <w:jc w:val="both"/>
        <w:rPr>
          <w:sz w:val="22"/>
          <w:szCs w:val="22"/>
        </w:rPr>
      </w:pPr>
      <w:r>
        <w:rPr>
          <w:sz w:val="22"/>
          <w:szCs w:val="22"/>
        </w:rPr>
        <w:t>In collaboration with Martin Bushell – CRUK Scotland Institute</w:t>
      </w:r>
    </w:p>
    <w:p w14:paraId="69EB9F8E" w14:textId="77777777" w:rsidR="00FD38A7" w:rsidRPr="00FD38A7" w:rsidRDefault="00FD38A7" w:rsidP="00FC22E0">
      <w:pPr>
        <w:jc w:val="both"/>
        <w:rPr>
          <w:sz w:val="22"/>
          <w:szCs w:val="22"/>
        </w:rPr>
      </w:pPr>
    </w:p>
    <w:p w14:paraId="3281E1C7" w14:textId="77777777" w:rsidR="00456A8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r w:rsidR="00456A87">
        <w:rPr>
          <w:b/>
          <w:bCs/>
          <w:sz w:val="22"/>
          <w:szCs w:val="22"/>
        </w:rPr>
        <w:t xml:space="preserve"> </w:t>
      </w:r>
    </w:p>
    <w:p w14:paraId="31529679" w14:textId="69D2E243" w:rsidR="00A40DCB" w:rsidRDefault="00000000" w:rsidP="00FC22E0">
      <w:pPr>
        <w:jc w:val="both"/>
        <w:rPr>
          <w:sz w:val="22"/>
          <w:szCs w:val="22"/>
        </w:rPr>
      </w:pPr>
      <w:hyperlink r:id="rId6" w:history="1">
        <w:r w:rsidR="00456A87" w:rsidRPr="001E66FA">
          <w:rPr>
            <w:rStyle w:val="Hyperlink"/>
            <w:sz w:val="22"/>
            <w:szCs w:val="22"/>
          </w:rPr>
          <w:t>https://www.gla.ac.uk/schools/cancersciences/staff/alisonmichie/</w:t>
        </w:r>
      </w:hyperlink>
    </w:p>
    <w:p w14:paraId="12390A83" w14:textId="4EB651DF" w:rsidR="00456A87" w:rsidRDefault="00456A87" w:rsidP="00FC22E0">
      <w:pPr>
        <w:jc w:val="both"/>
        <w:rPr>
          <w:sz w:val="22"/>
          <w:szCs w:val="22"/>
        </w:rPr>
      </w:pPr>
      <w:r w:rsidRPr="00456A87">
        <w:rPr>
          <w:sz w:val="22"/>
          <w:szCs w:val="22"/>
        </w:rPr>
        <w:t>https://www.gla.ac.uk/schools/cancersciences/research/units/paulogormanleukaemiaresearchcentre/hjorgensen/</w:t>
      </w:r>
    </w:p>
    <w:p w14:paraId="36E69CED" w14:textId="6794A1AC" w:rsidR="00456A87" w:rsidRPr="00456A87" w:rsidRDefault="00456A87" w:rsidP="00FC22E0">
      <w:pPr>
        <w:jc w:val="both"/>
        <w:rPr>
          <w:sz w:val="22"/>
          <w:szCs w:val="22"/>
        </w:rPr>
      </w:pPr>
      <w:r w:rsidRPr="00456A87">
        <w:rPr>
          <w:sz w:val="22"/>
          <w:szCs w:val="22"/>
        </w:rPr>
        <w:t>https://www.gla.ac.uk/schools/cancersciences/research/units/paulogormanleukaemiaresearchcentre/mcopland/#</w:t>
      </w:r>
    </w:p>
    <w:p w14:paraId="1DB5F6B9" w14:textId="2BC17EF5" w:rsidR="00A40DCB" w:rsidRDefault="004C5A7B" w:rsidP="00FC22E0">
      <w:pPr>
        <w:jc w:val="both"/>
        <w:rPr>
          <w:sz w:val="22"/>
          <w:szCs w:val="22"/>
        </w:rPr>
      </w:pPr>
      <w:r w:rsidRPr="004C5A7B">
        <w:rPr>
          <w:sz w:val="22"/>
          <w:szCs w:val="22"/>
        </w:rPr>
        <w:t>https://www.gla.ac.uk/schools/cancersciences/staff/martinbushell/#</w:t>
      </w:r>
    </w:p>
    <w:p w14:paraId="0F5507CB" w14:textId="77777777" w:rsidR="00FD38A7" w:rsidRPr="00FD38A7" w:rsidRDefault="00FD38A7" w:rsidP="00FC22E0">
      <w:pPr>
        <w:jc w:val="both"/>
        <w:rPr>
          <w:sz w:val="22"/>
          <w:szCs w:val="22"/>
        </w:rPr>
      </w:pPr>
    </w:p>
    <w:p w14:paraId="6EC077B0" w14:textId="41E52032" w:rsidR="002E79A8" w:rsidRPr="00381209" w:rsidRDefault="00A40DCB" w:rsidP="00FC22E0">
      <w:pPr>
        <w:jc w:val="both"/>
        <w:rPr>
          <w:rFonts w:cstheme="minorHAnsi"/>
          <w:b/>
          <w:bCs/>
          <w:sz w:val="22"/>
          <w:szCs w:val="22"/>
        </w:rPr>
      </w:pPr>
      <w:r w:rsidRPr="00381209">
        <w:rPr>
          <w:rFonts w:cstheme="minorHAnsi"/>
          <w:b/>
          <w:bCs/>
          <w:sz w:val="22"/>
          <w:szCs w:val="22"/>
        </w:rPr>
        <w:t xml:space="preserve">Research </w:t>
      </w:r>
      <w:r w:rsidR="00806088" w:rsidRPr="00381209">
        <w:rPr>
          <w:rFonts w:cstheme="minorHAnsi"/>
          <w:b/>
          <w:bCs/>
          <w:sz w:val="22"/>
          <w:szCs w:val="22"/>
        </w:rPr>
        <w:t>q</w:t>
      </w:r>
      <w:r w:rsidRPr="00381209">
        <w:rPr>
          <w:rFonts w:cstheme="minorHAnsi"/>
          <w:b/>
          <w:bCs/>
          <w:sz w:val="22"/>
          <w:szCs w:val="22"/>
        </w:rPr>
        <w:t>uestion:</w:t>
      </w:r>
    </w:p>
    <w:p w14:paraId="1A2F29E5" w14:textId="35907618" w:rsidR="001B4043" w:rsidRPr="00381209" w:rsidRDefault="001B4043" w:rsidP="001B4043">
      <w:pPr>
        <w:rPr>
          <w:rFonts w:eastAsia="Times New Roman" w:cstheme="minorHAnsi"/>
          <w:sz w:val="22"/>
          <w:szCs w:val="22"/>
          <w:lang w:eastAsia="en-GB"/>
        </w:rPr>
      </w:pPr>
      <w:r w:rsidRPr="00381209">
        <w:rPr>
          <w:rFonts w:eastAsia="Times New Roman" w:cstheme="minorHAnsi"/>
          <w:sz w:val="22"/>
          <w:szCs w:val="22"/>
          <w:lang w:eastAsia="en-GB"/>
        </w:rPr>
        <w:t xml:space="preserve">When normal cells become cancerous, they deregulate the processes controlling energy production to satisfy their increased needs, thus fuelling uncontrolled growth. One of the processes that requires significant amounts of energy is protein synthesis. These newly generated proteins are responsible for driving disease progression to increase cell survival and replication. </w:t>
      </w:r>
      <w:r w:rsidRPr="00381209">
        <w:rPr>
          <w:rFonts w:cstheme="minorHAnsi"/>
          <w:sz w:val="22"/>
          <w:szCs w:val="22"/>
        </w:rPr>
        <w:t xml:space="preserve">We have previously established a key role for mechanistic target of rapamycin (mTOR) in chronic lymphocytic leukaemia (CLL) initiation and progression </w:t>
      </w:r>
      <w:r w:rsidRPr="00381209">
        <w:rPr>
          <w:rFonts w:eastAsia="Times New Roman" w:cstheme="minorHAnsi"/>
          <w:color w:val="000000"/>
          <w:sz w:val="22"/>
          <w:szCs w:val="22"/>
          <w:shd w:val="clear" w:color="auto" w:fill="FFFFFF"/>
          <w:lang w:eastAsia="en-GB"/>
        </w:rPr>
        <w:t>relating to regulation of protein synthesis, specifically mRNA translation elongation through eEF2K/eEF2 signalling</w:t>
      </w:r>
      <w:r w:rsidRPr="00381209">
        <w:rPr>
          <w:rFonts w:cstheme="minorHAnsi"/>
          <w:sz w:val="22"/>
          <w:szCs w:val="22"/>
        </w:rPr>
        <w:t>.</w:t>
      </w:r>
      <w:r w:rsidRPr="00381209">
        <w:rPr>
          <w:rFonts w:eastAsia="Times New Roman" w:cstheme="minorHAnsi"/>
          <w:sz w:val="22"/>
          <w:szCs w:val="22"/>
          <w:lang w:eastAsia="en-GB"/>
        </w:rPr>
        <w:t xml:space="preserve"> Our data show that CLL cells, and specifically EF2K, is particularly sensitive to treatment with an established drug, rapamycin, resulting in a mitigation of disease progression. Furthermore, we have identified a drug called nelfinavir (NFR), originally approved to treat HIV patients, has anti-cancer activities at least in part through the activation of EF2K. While NFR has shown promise in clinical trials for breast, kidney, lung cancers, its clinical activity has not been tested in CML. </w:t>
      </w:r>
      <w:r w:rsidRPr="00381209">
        <w:rPr>
          <w:rFonts w:cstheme="minorHAnsi"/>
          <w:sz w:val="22"/>
          <w:szCs w:val="22"/>
        </w:rPr>
        <w:t xml:space="preserve">This project aims to conduct detailed biochemical and pre-clinical analyses of the eEF2K modulators, rapamycin and NFR in the presence and absence of TKIs, to exploit the therapeutic potential of targeting protein translation elongation in CML. </w:t>
      </w:r>
    </w:p>
    <w:p w14:paraId="1E66F702" w14:textId="77777777" w:rsidR="001B4043" w:rsidRPr="00381209" w:rsidRDefault="001B4043" w:rsidP="001B4043">
      <w:pPr>
        <w:pStyle w:val="ListParagraph"/>
        <w:spacing w:line="160" w:lineRule="exact"/>
        <w:ind w:left="1146"/>
        <w:rPr>
          <w:rFonts w:cstheme="minorHAnsi"/>
          <w:sz w:val="22"/>
          <w:szCs w:val="22"/>
        </w:rPr>
      </w:pPr>
    </w:p>
    <w:p w14:paraId="4E0669DE" w14:textId="41897FE2" w:rsidR="00DD4417" w:rsidRPr="00381209" w:rsidRDefault="00A40DCB" w:rsidP="00FC22E0">
      <w:pPr>
        <w:jc w:val="both"/>
        <w:rPr>
          <w:rFonts w:cstheme="minorHAnsi"/>
          <w:b/>
          <w:bCs/>
          <w:sz w:val="22"/>
          <w:szCs w:val="22"/>
        </w:rPr>
      </w:pPr>
      <w:r w:rsidRPr="00381209">
        <w:rPr>
          <w:rFonts w:cstheme="minorHAnsi"/>
          <w:b/>
          <w:bCs/>
          <w:sz w:val="22"/>
          <w:szCs w:val="22"/>
        </w:rPr>
        <w:t>Relevance to Cancer:</w:t>
      </w:r>
      <w:r w:rsidR="002623D6" w:rsidRPr="00381209">
        <w:rPr>
          <w:rFonts w:cstheme="minorHAnsi"/>
          <w:b/>
          <w:bCs/>
          <w:sz w:val="22"/>
          <w:szCs w:val="22"/>
        </w:rPr>
        <w:t xml:space="preserve"> </w:t>
      </w:r>
      <w:r w:rsidR="002623D6" w:rsidRPr="00381209">
        <w:rPr>
          <w:rFonts w:cstheme="minorHAnsi"/>
          <w:b/>
          <w:bCs/>
          <w:sz w:val="22"/>
          <w:szCs w:val="22"/>
        </w:rPr>
        <w:tab/>
      </w:r>
    </w:p>
    <w:p w14:paraId="5254D5D4" w14:textId="433EC5F7" w:rsidR="00FD38A7" w:rsidRPr="00381209" w:rsidRDefault="001B4043" w:rsidP="001B4043">
      <w:pPr>
        <w:rPr>
          <w:rFonts w:cstheme="minorHAnsi"/>
          <w:sz w:val="22"/>
          <w:szCs w:val="22"/>
        </w:rPr>
      </w:pPr>
      <w:r w:rsidRPr="00381209">
        <w:rPr>
          <w:rFonts w:cstheme="minorHAnsi"/>
          <w:sz w:val="22"/>
          <w:szCs w:val="22"/>
        </w:rPr>
        <w:t xml:space="preserve">While the approval of tyrosine kinase inhibitors (TKIs), such as imatinib and nilotinib, revolutionised the clinical standard of care for chronic phase CML patients, these treatments are not curative, as leukaemia cells can develop alternative mechanisms to bypass the need for BCR::ABL1 activity, </w:t>
      </w:r>
      <w:r w:rsidRPr="00381209">
        <w:rPr>
          <w:rFonts w:cstheme="minorHAnsi"/>
          <w:sz w:val="22"/>
          <w:szCs w:val="22"/>
        </w:rPr>
        <w:lastRenderedPageBreak/>
        <w:t>rendering TKI therapy ineffective. This can lead to relapse, TKI resistance and disease progression. In addition to the mature leukaemic myeloid cells that form the bulk of the disease, a population of quiescent CD34+ leukaemia stem cells (LSCs) exists that behaves as the cell of origin to mature CML cells. Eradicating CML LSCs is a significant therapeutic challenge as the LSCs are insensitive to TKIs. Therefore</w:t>
      </w:r>
      <w:r w:rsidRPr="00381209">
        <w:rPr>
          <w:rFonts w:eastAsia="Calibri" w:cstheme="minorHAnsi"/>
          <w:sz w:val="22"/>
          <w:szCs w:val="22"/>
        </w:rPr>
        <w:t xml:space="preserve">, identifying novel therapeutic strategies for patients that experience poor outcomes, </w:t>
      </w:r>
      <w:r w:rsidRPr="00381209">
        <w:rPr>
          <w:rFonts w:cstheme="minorHAnsi"/>
          <w:sz w:val="22"/>
          <w:szCs w:val="22"/>
        </w:rPr>
        <w:t xml:space="preserve">specifically the acquired resistance or the failure of LSCs to adequately respond to TKI therapy, </w:t>
      </w:r>
      <w:r w:rsidRPr="00381209">
        <w:rPr>
          <w:rFonts w:eastAsia="Calibri" w:cstheme="minorHAnsi"/>
          <w:sz w:val="22"/>
          <w:szCs w:val="22"/>
        </w:rPr>
        <w:t>remains a priority research area for leukaemia translation.</w:t>
      </w:r>
      <w:r w:rsidRPr="00381209">
        <w:rPr>
          <w:rFonts w:cstheme="minorHAnsi"/>
          <w:sz w:val="22"/>
          <w:szCs w:val="22"/>
        </w:rPr>
        <w:t xml:space="preserve"> </w:t>
      </w:r>
    </w:p>
    <w:p w14:paraId="55594011" w14:textId="77777777" w:rsidR="001B4043" w:rsidRPr="00381209" w:rsidRDefault="001B4043" w:rsidP="001B4043">
      <w:pPr>
        <w:spacing w:line="160" w:lineRule="exact"/>
        <w:rPr>
          <w:rFonts w:cstheme="minorHAnsi"/>
          <w:sz w:val="22"/>
          <w:szCs w:val="22"/>
        </w:rPr>
      </w:pPr>
    </w:p>
    <w:p w14:paraId="5BFBA63D" w14:textId="77777777" w:rsidR="001B4043" w:rsidRPr="00381209" w:rsidRDefault="001B4043" w:rsidP="001B4043">
      <w:pPr>
        <w:jc w:val="both"/>
        <w:rPr>
          <w:rFonts w:cstheme="minorHAnsi"/>
          <w:sz w:val="22"/>
          <w:szCs w:val="22"/>
        </w:rPr>
      </w:pPr>
      <w:r w:rsidRPr="00381209">
        <w:rPr>
          <w:rFonts w:cstheme="minorHAnsi"/>
          <w:sz w:val="22"/>
          <w:szCs w:val="22"/>
        </w:rPr>
        <w:t xml:space="preserve">As EF2K has been shown to play a central role in the regulation of a number of different diseases involving learning and memory, heart, and many cancers, the results generated in this proposal will be of use to a number of fields in addition to blood cell cancer. This study will also provide us with </w:t>
      </w:r>
      <w:r w:rsidRPr="00381209">
        <w:rPr>
          <w:rFonts w:eastAsia="Times New Roman" w:cstheme="minorHAnsi"/>
          <w:sz w:val="22"/>
          <w:szCs w:val="22"/>
          <w:lang w:eastAsia="en-GB"/>
        </w:rPr>
        <w:t>important information about how to develop NFR, a safe oral drug, for use in human CML clinical trials in the future.</w:t>
      </w:r>
    </w:p>
    <w:p w14:paraId="48B15010" w14:textId="77777777" w:rsidR="001B4043" w:rsidRPr="00381209" w:rsidRDefault="001B4043" w:rsidP="001B4043">
      <w:pPr>
        <w:rPr>
          <w:rFonts w:cstheme="minorHAnsi"/>
          <w:sz w:val="22"/>
          <w:szCs w:val="22"/>
        </w:rPr>
      </w:pPr>
    </w:p>
    <w:p w14:paraId="2F33498C" w14:textId="636487AF" w:rsidR="002E79A8" w:rsidRPr="00381209" w:rsidRDefault="00A40DCB" w:rsidP="00FC22E0">
      <w:pPr>
        <w:jc w:val="both"/>
        <w:rPr>
          <w:rFonts w:cstheme="minorHAnsi"/>
          <w:b/>
          <w:bCs/>
          <w:sz w:val="22"/>
          <w:szCs w:val="22"/>
        </w:rPr>
      </w:pPr>
      <w:r w:rsidRPr="00381209">
        <w:rPr>
          <w:rFonts w:cstheme="minorHAnsi"/>
          <w:b/>
          <w:bCs/>
          <w:sz w:val="22"/>
          <w:szCs w:val="22"/>
        </w:rPr>
        <w:t>Techniques/model systems</w:t>
      </w:r>
      <w:r w:rsidR="00B402B9" w:rsidRPr="00381209">
        <w:rPr>
          <w:rFonts w:cstheme="minorHAnsi"/>
          <w:b/>
          <w:bCs/>
          <w:sz w:val="22"/>
          <w:szCs w:val="22"/>
        </w:rPr>
        <w:t xml:space="preserve"> to be used</w:t>
      </w:r>
      <w:r w:rsidRPr="00381209">
        <w:rPr>
          <w:rFonts w:cstheme="minorHAnsi"/>
          <w:b/>
          <w:bCs/>
          <w:sz w:val="22"/>
          <w:szCs w:val="22"/>
        </w:rPr>
        <w:t>:</w:t>
      </w:r>
      <w:r w:rsidR="002623D6" w:rsidRPr="00381209">
        <w:rPr>
          <w:rFonts w:cstheme="minorHAnsi"/>
          <w:b/>
          <w:bCs/>
          <w:sz w:val="22"/>
          <w:szCs w:val="22"/>
        </w:rPr>
        <w:t xml:space="preserve"> </w:t>
      </w:r>
      <w:r w:rsidR="002623D6" w:rsidRPr="00381209">
        <w:rPr>
          <w:rFonts w:cstheme="minorHAnsi"/>
          <w:b/>
          <w:bCs/>
          <w:sz w:val="22"/>
          <w:szCs w:val="22"/>
        </w:rPr>
        <w:tab/>
      </w:r>
    </w:p>
    <w:p w14:paraId="33BF5D38" w14:textId="77777777" w:rsidR="001B4043" w:rsidRPr="00381209" w:rsidRDefault="001B4043" w:rsidP="001B4043">
      <w:pPr>
        <w:pStyle w:val="ListParagraph"/>
        <w:numPr>
          <w:ilvl w:val="0"/>
          <w:numId w:val="4"/>
        </w:numPr>
        <w:ind w:left="426" w:hanging="426"/>
        <w:rPr>
          <w:rFonts w:eastAsia="Times New Roman" w:cstheme="minorHAnsi"/>
          <w:sz w:val="22"/>
          <w:szCs w:val="22"/>
          <w:lang w:val="en-GB" w:eastAsia="en-GB"/>
        </w:rPr>
      </w:pPr>
      <w:r w:rsidRPr="00381209">
        <w:rPr>
          <w:rFonts w:eastAsia="Times New Roman" w:cstheme="minorHAnsi"/>
          <w:sz w:val="22"/>
          <w:szCs w:val="22"/>
          <w:lang w:val="en-GB" w:eastAsia="en-GB"/>
        </w:rPr>
        <w:t xml:space="preserve">Establish whether drug treatments can activate EF2K, and represent a valid therapeutic strategy for CML patients through testing the activation status of the </w:t>
      </w:r>
      <w:r w:rsidRPr="00381209">
        <w:rPr>
          <w:rFonts w:eastAsia="Times New Roman" w:cstheme="minorHAnsi"/>
          <w:color w:val="000000"/>
          <w:sz w:val="22"/>
          <w:szCs w:val="22"/>
          <w:shd w:val="clear" w:color="auto" w:fill="FFFFFF"/>
          <w:lang w:val="en-GB" w:eastAsia="en-GB"/>
        </w:rPr>
        <w:t>eEF2K/eEF2 signalling axis</w:t>
      </w:r>
      <w:r w:rsidRPr="00381209">
        <w:rPr>
          <w:rFonts w:eastAsia="Times New Roman" w:cstheme="minorHAnsi"/>
          <w:sz w:val="22"/>
          <w:szCs w:val="22"/>
          <w:lang w:val="en-GB" w:eastAsia="en-GB"/>
        </w:rPr>
        <w:t xml:space="preserve"> in our CML cell models;</w:t>
      </w:r>
    </w:p>
    <w:p w14:paraId="4F680516" w14:textId="77777777" w:rsidR="001B4043" w:rsidRPr="00381209" w:rsidRDefault="001B4043" w:rsidP="001B4043">
      <w:pPr>
        <w:pStyle w:val="ListParagraph"/>
        <w:numPr>
          <w:ilvl w:val="0"/>
          <w:numId w:val="4"/>
        </w:numPr>
        <w:ind w:left="426" w:hanging="426"/>
        <w:rPr>
          <w:rFonts w:eastAsia="Times New Roman" w:cstheme="minorHAnsi"/>
          <w:sz w:val="22"/>
          <w:szCs w:val="22"/>
          <w:lang w:val="en-GB" w:eastAsia="en-GB"/>
        </w:rPr>
      </w:pPr>
      <w:r w:rsidRPr="00381209">
        <w:rPr>
          <w:rFonts w:cstheme="minorHAnsi"/>
          <w:sz w:val="22"/>
          <w:szCs w:val="22"/>
          <w:lang w:val="en-GB"/>
        </w:rPr>
        <w:t xml:space="preserve">Address whether treatment </w:t>
      </w:r>
      <w:r w:rsidRPr="00381209">
        <w:rPr>
          <w:rFonts w:eastAsia="Times New Roman" w:cstheme="minorHAnsi"/>
          <w:sz w:val="22"/>
          <w:szCs w:val="22"/>
          <w:lang w:val="en-GB" w:eastAsia="en-GB"/>
        </w:rPr>
        <w:t>combinations of NFR or rapamycin with individual TKI therapies can enhance/synergise the response of single agents alone in CML cell lines and primary CML-LSCs, by assessing apoptosis, quiescence, proliferation and self-renewal (colony forming) assays;</w:t>
      </w:r>
    </w:p>
    <w:p w14:paraId="6497EB5E" w14:textId="77777777" w:rsidR="001B4043" w:rsidRPr="00381209" w:rsidRDefault="001B4043" w:rsidP="001B4043">
      <w:pPr>
        <w:pStyle w:val="ListParagraph"/>
        <w:numPr>
          <w:ilvl w:val="0"/>
          <w:numId w:val="4"/>
        </w:numPr>
        <w:ind w:left="426" w:hanging="426"/>
        <w:rPr>
          <w:rFonts w:eastAsia="Times New Roman" w:cstheme="minorHAnsi"/>
          <w:i/>
          <w:iCs/>
          <w:sz w:val="22"/>
          <w:szCs w:val="22"/>
          <w:lang w:val="en-GB" w:eastAsia="en-GB"/>
        </w:rPr>
      </w:pPr>
      <w:r w:rsidRPr="00381209">
        <w:rPr>
          <w:rFonts w:eastAsia="Times New Roman" w:cstheme="minorHAnsi"/>
          <w:sz w:val="22"/>
          <w:szCs w:val="22"/>
          <w:lang w:val="en-GB" w:eastAsia="en-GB"/>
        </w:rPr>
        <w:t>Discover potential novel drug targets that are regulated by EF2K-mediated protein synthesis and responsible for progression by performing detailed analyses of ribosome regulation in primary CML cells and testing whether they are responsive to rapamycin or NFR treatment.</w:t>
      </w:r>
    </w:p>
    <w:p w14:paraId="22B63917" w14:textId="77777777" w:rsidR="00B402B9" w:rsidRPr="00381209" w:rsidRDefault="00B402B9" w:rsidP="00FC22E0">
      <w:pPr>
        <w:jc w:val="both"/>
        <w:rPr>
          <w:rFonts w:cstheme="minorHAnsi"/>
          <w:sz w:val="22"/>
          <w:szCs w:val="22"/>
        </w:rPr>
      </w:pPr>
    </w:p>
    <w:p w14:paraId="7C37F84D" w14:textId="2F1DF3B3" w:rsidR="002E79A8" w:rsidRPr="00381209" w:rsidRDefault="002E79A8" w:rsidP="00FC22E0">
      <w:pPr>
        <w:jc w:val="both"/>
        <w:rPr>
          <w:rFonts w:cstheme="minorHAnsi"/>
          <w:b/>
          <w:bCs/>
          <w:sz w:val="22"/>
          <w:szCs w:val="22"/>
        </w:rPr>
      </w:pPr>
      <w:r w:rsidRPr="00381209">
        <w:rPr>
          <w:rFonts w:cstheme="minorHAnsi"/>
          <w:b/>
          <w:bCs/>
          <w:sz w:val="22"/>
          <w:szCs w:val="22"/>
        </w:rPr>
        <w:t>Papers of interest:</w:t>
      </w:r>
    </w:p>
    <w:p w14:paraId="6F539C86" w14:textId="187C9A68" w:rsidR="0007041D" w:rsidRPr="00381209" w:rsidRDefault="001B4043" w:rsidP="001B4043">
      <w:pPr>
        <w:rPr>
          <w:rFonts w:cstheme="minorHAnsi"/>
          <w:color w:val="000000" w:themeColor="text1"/>
          <w:sz w:val="22"/>
          <w:szCs w:val="22"/>
          <w:shd w:val="clear" w:color="auto" w:fill="FFFFFF"/>
        </w:rPr>
      </w:pPr>
      <w:r w:rsidRPr="00381209">
        <w:rPr>
          <w:rFonts w:cstheme="minorHAnsi"/>
          <w:sz w:val="22"/>
          <w:szCs w:val="22"/>
        </w:rPr>
        <w:t xml:space="preserve">N Malik, J Hay, </w:t>
      </w:r>
      <w:r w:rsidRPr="00381209">
        <w:rPr>
          <w:rFonts w:cstheme="minorHAnsi"/>
          <w:color w:val="000000" w:themeColor="text1"/>
          <w:sz w:val="22"/>
          <w:szCs w:val="22"/>
        </w:rPr>
        <w:t xml:space="preserve">HNB </w:t>
      </w:r>
      <w:proofErr w:type="spellStart"/>
      <w:r w:rsidRPr="00381209">
        <w:rPr>
          <w:rFonts w:cstheme="minorHAnsi"/>
          <w:color w:val="000000" w:themeColor="text1"/>
          <w:sz w:val="22"/>
          <w:szCs w:val="22"/>
        </w:rPr>
        <w:t>Almuhanna</w:t>
      </w:r>
      <w:proofErr w:type="spellEnd"/>
      <w:r w:rsidRPr="00381209">
        <w:rPr>
          <w:rFonts w:cstheme="minorHAnsi"/>
          <w:sz w:val="22"/>
          <w:szCs w:val="22"/>
        </w:rPr>
        <w:t>, KM Dunn, J Lees, J Cassels, J Li, R Nakagawa, OJ Sansom, AM Michie</w:t>
      </w:r>
      <w:r w:rsidRPr="00381209">
        <w:rPr>
          <w:rFonts w:cstheme="minorHAnsi"/>
          <w:b/>
          <w:bCs/>
          <w:sz w:val="22"/>
          <w:szCs w:val="22"/>
        </w:rPr>
        <w:t xml:space="preserve"> </w:t>
      </w:r>
      <w:r w:rsidRPr="00381209">
        <w:rPr>
          <w:rFonts w:cstheme="minorHAnsi"/>
          <w:sz w:val="22"/>
          <w:szCs w:val="22"/>
        </w:rPr>
        <w:t>(2023).</w:t>
      </w:r>
      <w:r w:rsidRPr="00381209">
        <w:rPr>
          <w:rFonts w:cstheme="minorHAnsi"/>
          <w:bCs/>
          <w:sz w:val="22"/>
          <w:szCs w:val="22"/>
        </w:rPr>
        <w:t xml:space="preserve"> mTORC1 activity is essential for maintenance of chronic lymphocytic leukaemia. </w:t>
      </w:r>
      <w:proofErr w:type="spellStart"/>
      <w:r w:rsidRPr="00381209">
        <w:rPr>
          <w:rFonts w:cstheme="minorHAnsi"/>
          <w:bCs/>
          <w:i/>
          <w:iCs/>
          <w:color w:val="000000" w:themeColor="text1"/>
          <w:sz w:val="22"/>
          <w:szCs w:val="22"/>
        </w:rPr>
        <w:t>Leukemia</w:t>
      </w:r>
      <w:proofErr w:type="spellEnd"/>
      <w:r w:rsidRPr="00381209">
        <w:rPr>
          <w:rFonts w:cstheme="minorHAnsi"/>
          <w:bCs/>
          <w:i/>
          <w:iCs/>
          <w:color w:val="000000" w:themeColor="text1"/>
          <w:sz w:val="22"/>
          <w:szCs w:val="22"/>
        </w:rPr>
        <w:t xml:space="preserve">. </w:t>
      </w:r>
      <w:r w:rsidRPr="00381209">
        <w:rPr>
          <w:rFonts w:cstheme="minorHAnsi"/>
          <w:color w:val="000000" w:themeColor="text1"/>
          <w:sz w:val="22"/>
          <w:szCs w:val="22"/>
          <w:shd w:val="clear" w:color="auto" w:fill="FFFFFF"/>
        </w:rPr>
        <w:t>37:2414.</w:t>
      </w:r>
    </w:p>
    <w:p w14:paraId="0900F069" w14:textId="77777777" w:rsidR="00381209" w:rsidRPr="00381209" w:rsidRDefault="00381209" w:rsidP="001B4043">
      <w:pPr>
        <w:rPr>
          <w:rFonts w:cstheme="minorHAnsi"/>
          <w:color w:val="000000" w:themeColor="text1"/>
          <w:sz w:val="22"/>
          <w:szCs w:val="22"/>
          <w:shd w:val="clear" w:color="auto" w:fill="FFFFFF"/>
        </w:rPr>
      </w:pPr>
    </w:p>
    <w:p w14:paraId="248E29A5" w14:textId="1EBA2E6D" w:rsidR="00381209" w:rsidRPr="00381209" w:rsidRDefault="00381209" w:rsidP="00381209">
      <w:pPr>
        <w:rPr>
          <w:rFonts w:cstheme="minorHAnsi"/>
          <w:color w:val="000000" w:themeColor="text1"/>
          <w:sz w:val="22"/>
          <w:szCs w:val="22"/>
          <w:shd w:val="clear" w:color="auto" w:fill="FFFFFF"/>
        </w:rPr>
      </w:pPr>
      <w:r w:rsidRPr="00381209">
        <w:rPr>
          <w:rFonts w:cstheme="minorHAnsi"/>
          <w:color w:val="000000" w:themeColor="text1"/>
          <w:sz w:val="22"/>
          <w:szCs w:val="22"/>
          <w:shd w:val="clear" w:color="auto" w:fill="FFFFFF"/>
        </w:rPr>
        <w:t xml:space="preserve">A De </w:t>
      </w:r>
      <w:proofErr w:type="spellStart"/>
      <w:r w:rsidRPr="00381209">
        <w:rPr>
          <w:rFonts w:cstheme="minorHAnsi"/>
          <w:color w:val="000000" w:themeColor="text1"/>
          <w:sz w:val="22"/>
          <w:szCs w:val="22"/>
          <w:shd w:val="clear" w:color="auto" w:fill="FFFFFF"/>
        </w:rPr>
        <w:t>Gassart</w:t>
      </w:r>
      <w:proofErr w:type="spellEnd"/>
      <w:r w:rsidRPr="00381209">
        <w:rPr>
          <w:rFonts w:cstheme="minorHAnsi"/>
          <w:color w:val="000000" w:themeColor="text1"/>
          <w:sz w:val="22"/>
          <w:szCs w:val="22"/>
          <w:shd w:val="clear" w:color="auto" w:fill="FFFFFF"/>
        </w:rPr>
        <w:t xml:space="preserve">, O Demaria, R Panes, L </w:t>
      </w:r>
      <w:proofErr w:type="spellStart"/>
      <w:r w:rsidRPr="00381209">
        <w:rPr>
          <w:rFonts w:cstheme="minorHAnsi"/>
          <w:color w:val="000000" w:themeColor="text1"/>
          <w:sz w:val="22"/>
          <w:szCs w:val="22"/>
          <w:shd w:val="clear" w:color="auto" w:fill="FFFFFF"/>
        </w:rPr>
        <w:t>Zaffalon</w:t>
      </w:r>
      <w:proofErr w:type="spellEnd"/>
      <w:r w:rsidRPr="00381209">
        <w:rPr>
          <w:rFonts w:cstheme="minorHAnsi"/>
          <w:color w:val="000000" w:themeColor="text1"/>
          <w:sz w:val="22"/>
          <w:szCs w:val="22"/>
          <w:shd w:val="clear" w:color="auto" w:fill="FFFFFF"/>
        </w:rPr>
        <w:t xml:space="preserve">, AG </w:t>
      </w:r>
      <w:proofErr w:type="spellStart"/>
      <w:r w:rsidRPr="00381209">
        <w:rPr>
          <w:rFonts w:cstheme="minorHAnsi"/>
          <w:color w:val="000000" w:themeColor="text1"/>
          <w:sz w:val="22"/>
          <w:szCs w:val="22"/>
          <w:shd w:val="clear" w:color="auto" w:fill="FFFFFF"/>
        </w:rPr>
        <w:t>Tyazanov</w:t>
      </w:r>
      <w:proofErr w:type="spellEnd"/>
      <w:r w:rsidRPr="00381209">
        <w:rPr>
          <w:rFonts w:cstheme="minorHAnsi"/>
          <w:color w:val="000000" w:themeColor="text1"/>
          <w:sz w:val="22"/>
          <w:szCs w:val="22"/>
          <w:shd w:val="clear" w:color="auto" w:fill="FFFFFF"/>
        </w:rPr>
        <w:t xml:space="preserve">, M Gillet, F </w:t>
      </w:r>
      <w:proofErr w:type="spellStart"/>
      <w:r w:rsidRPr="00381209">
        <w:rPr>
          <w:rFonts w:cstheme="minorHAnsi"/>
          <w:color w:val="000000" w:themeColor="text1"/>
          <w:sz w:val="22"/>
          <w:szCs w:val="22"/>
          <w:shd w:val="clear" w:color="auto" w:fill="FFFFFF"/>
        </w:rPr>
        <w:t>Martinon</w:t>
      </w:r>
      <w:proofErr w:type="spellEnd"/>
      <w:r w:rsidRPr="00381209">
        <w:rPr>
          <w:rFonts w:cstheme="minorHAnsi"/>
          <w:color w:val="000000" w:themeColor="text1"/>
          <w:sz w:val="22"/>
          <w:szCs w:val="22"/>
          <w:shd w:val="clear" w:color="auto" w:fill="FFFFFF"/>
        </w:rPr>
        <w:t xml:space="preserve"> (2016).  Pharm</w:t>
      </w:r>
      <w:r>
        <w:rPr>
          <w:rFonts w:cstheme="minorHAnsi"/>
          <w:color w:val="000000" w:themeColor="text1"/>
          <w:sz w:val="22"/>
          <w:szCs w:val="22"/>
          <w:shd w:val="clear" w:color="auto" w:fill="FFFFFF"/>
        </w:rPr>
        <w:t>a</w:t>
      </w:r>
      <w:r w:rsidRPr="00381209">
        <w:rPr>
          <w:rFonts w:cstheme="minorHAnsi"/>
          <w:color w:val="000000" w:themeColor="text1"/>
          <w:sz w:val="22"/>
          <w:szCs w:val="22"/>
          <w:shd w:val="clear" w:color="auto" w:fill="FFFFFF"/>
        </w:rPr>
        <w:t xml:space="preserve">cological eEF2K activation promotes cell death and inhibits cancer progression. </w:t>
      </w:r>
      <w:r w:rsidRPr="00381209">
        <w:rPr>
          <w:rFonts w:cstheme="minorHAnsi"/>
          <w:i/>
          <w:iCs/>
          <w:color w:val="000000" w:themeColor="text1"/>
          <w:sz w:val="22"/>
          <w:szCs w:val="22"/>
          <w:shd w:val="clear" w:color="auto" w:fill="FFFFFF"/>
        </w:rPr>
        <w:t>EMBO Rep</w:t>
      </w:r>
      <w:r w:rsidRPr="00381209">
        <w:rPr>
          <w:rFonts w:cstheme="minorHAnsi"/>
          <w:color w:val="000000" w:themeColor="text1"/>
          <w:sz w:val="22"/>
          <w:szCs w:val="22"/>
          <w:shd w:val="clear" w:color="auto" w:fill="FFFFFF"/>
        </w:rPr>
        <w:t>. 17:1471.</w:t>
      </w:r>
    </w:p>
    <w:p w14:paraId="665E355E" w14:textId="77777777" w:rsidR="00381209" w:rsidRPr="00381209" w:rsidRDefault="00381209" w:rsidP="00381209">
      <w:pPr>
        <w:rPr>
          <w:rFonts w:cstheme="minorHAnsi"/>
          <w:color w:val="000000" w:themeColor="text1"/>
          <w:sz w:val="22"/>
          <w:szCs w:val="22"/>
          <w:shd w:val="clear" w:color="auto" w:fill="FFFFFF"/>
        </w:rPr>
      </w:pPr>
    </w:p>
    <w:p w14:paraId="6E628AFD" w14:textId="30822E1E" w:rsidR="00381209" w:rsidRPr="00381209" w:rsidRDefault="00381209" w:rsidP="00381209">
      <w:pPr>
        <w:rPr>
          <w:rFonts w:cstheme="minorHAnsi"/>
          <w:sz w:val="22"/>
          <w:szCs w:val="22"/>
        </w:rPr>
      </w:pPr>
    </w:p>
    <w:sectPr w:rsidR="00381209" w:rsidRPr="00381209" w:rsidSect="004E2A3B">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notTrueType/>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notTrueType/>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FC07F5"/>
    <w:multiLevelType w:val="hybridMultilevel"/>
    <w:tmpl w:val="7F50AB14"/>
    <w:lvl w:ilvl="0" w:tplc="D69A6008">
      <w:start w:val="1"/>
      <w:numFmt w:val="upperLetter"/>
      <w:lvlText w:val="%1."/>
      <w:lvlJc w:val="left"/>
      <w:pPr>
        <w:ind w:left="720" w:hanging="360"/>
      </w:pPr>
      <w:rPr>
        <w:rFonts w:ascii="Arial" w:hAnsi="Arial" w:cs="Arial"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07E7F24"/>
    <w:multiLevelType w:val="hybridMultilevel"/>
    <w:tmpl w:val="C978A504"/>
    <w:lvl w:ilvl="0" w:tplc="6DCEDF86">
      <w:start w:val="1"/>
      <w:numFmt w:val="decimal"/>
      <w:lvlText w:val="%1."/>
      <w:lvlJc w:val="left"/>
      <w:pPr>
        <w:ind w:left="400" w:hanging="360"/>
      </w:pPr>
      <w:rPr>
        <w:rFonts w:ascii="Arial" w:hAnsi="Arial" w:cs="Arial" w:hint="default"/>
        <w:sz w:val="24"/>
      </w:rPr>
    </w:lvl>
    <w:lvl w:ilvl="1" w:tplc="08090019" w:tentative="1">
      <w:start w:val="1"/>
      <w:numFmt w:val="lowerLetter"/>
      <w:lvlText w:val="%2."/>
      <w:lvlJc w:val="left"/>
      <w:pPr>
        <w:ind w:left="1120" w:hanging="360"/>
      </w:pPr>
    </w:lvl>
    <w:lvl w:ilvl="2" w:tplc="0809001B" w:tentative="1">
      <w:start w:val="1"/>
      <w:numFmt w:val="lowerRoman"/>
      <w:lvlText w:val="%3."/>
      <w:lvlJc w:val="right"/>
      <w:pPr>
        <w:ind w:left="1840" w:hanging="180"/>
      </w:pPr>
    </w:lvl>
    <w:lvl w:ilvl="3" w:tplc="0809000F" w:tentative="1">
      <w:start w:val="1"/>
      <w:numFmt w:val="decimal"/>
      <w:lvlText w:val="%4."/>
      <w:lvlJc w:val="left"/>
      <w:pPr>
        <w:ind w:left="2560" w:hanging="360"/>
      </w:pPr>
    </w:lvl>
    <w:lvl w:ilvl="4" w:tplc="08090019" w:tentative="1">
      <w:start w:val="1"/>
      <w:numFmt w:val="lowerLetter"/>
      <w:lvlText w:val="%5."/>
      <w:lvlJc w:val="left"/>
      <w:pPr>
        <w:ind w:left="3280" w:hanging="360"/>
      </w:pPr>
    </w:lvl>
    <w:lvl w:ilvl="5" w:tplc="0809001B" w:tentative="1">
      <w:start w:val="1"/>
      <w:numFmt w:val="lowerRoman"/>
      <w:lvlText w:val="%6."/>
      <w:lvlJc w:val="right"/>
      <w:pPr>
        <w:ind w:left="4000" w:hanging="180"/>
      </w:pPr>
    </w:lvl>
    <w:lvl w:ilvl="6" w:tplc="0809000F" w:tentative="1">
      <w:start w:val="1"/>
      <w:numFmt w:val="decimal"/>
      <w:lvlText w:val="%7."/>
      <w:lvlJc w:val="left"/>
      <w:pPr>
        <w:ind w:left="4720" w:hanging="360"/>
      </w:pPr>
    </w:lvl>
    <w:lvl w:ilvl="7" w:tplc="08090019" w:tentative="1">
      <w:start w:val="1"/>
      <w:numFmt w:val="lowerLetter"/>
      <w:lvlText w:val="%8."/>
      <w:lvlJc w:val="left"/>
      <w:pPr>
        <w:ind w:left="5440" w:hanging="360"/>
      </w:pPr>
    </w:lvl>
    <w:lvl w:ilvl="8" w:tplc="0809001B" w:tentative="1">
      <w:start w:val="1"/>
      <w:numFmt w:val="lowerRoman"/>
      <w:lvlText w:val="%9."/>
      <w:lvlJc w:val="right"/>
      <w:pPr>
        <w:ind w:left="6160" w:hanging="180"/>
      </w:pPr>
    </w:lvl>
  </w:abstractNum>
  <w:abstractNum w:abstractNumId="5" w15:restartNumberingAfterBreak="0">
    <w:nsid w:val="6F433D1A"/>
    <w:multiLevelType w:val="hybridMultilevel"/>
    <w:tmpl w:val="93CEBB48"/>
    <w:lvl w:ilvl="0" w:tplc="2E34D010">
      <w:start w:val="1"/>
      <w:numFmt w:val="upperRoman"/>
      <w:lvlText w:val="%1."/>
      <w:lvlJc w:val="left"/>
      <w:pPr>
        <w:ind w:left="1146" w:hanging="72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23658829">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16cid:durableId="1929272560">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16cid:durableId="1110471032">
    <w:abstractNumId w:val="2"/>
  </w:num>
  <w:num w:numId="4" w16cid:durableId="1990207651">
    <w:abstractNumId w:val="5"/>
  </w:num>
  <w:num w:numId="5" w16cid:durableId="1620641563">
    <w:abstractNumId w:val="4"/>
  </w:num>
  <w:num w:numId="6" w16cid:durableId="738665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5"/>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B4043"/>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81209"/>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56A87"/>
    <w:rsid w:val="00465F21"/>
    <w:rsid w:val="00470765"/>
    <w:rsid w:val="004834B3"/>
    <w:rsid w:val="004A1214"/>
    <w:rsid w:val="004A4170"/>
    <w:rsid w:val="004B38FE"/>
    <w:rsid w:val="004C20F6"/>
    <w:rsid w:val="004C5A7B"/>
    <w:rsid w:val="004C69DF"/>
    <w:rsid w:val="004D1AAB"/>
    <w:rsid w:val="004E2A3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7343C"/>
    <w:rsid w:val="00783754"/>
    <w:rsid w:val="0079183B"/>
    <w:rsid w:val="007B1387"/>
    <w:rsid w:val="007B3DB6"/>
    <w:rsid w:val="007E1B8D"/>
    <w:rsid w:val="00806088"/>
    <w:rsid w:val="008234BB"/>
    <w:rsid w:val="00834F66"/>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57FC"/>
    <w:rsid w:val="00B86BB9"/>
    <w:rsid w:val="00BA0B78"/>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456A87"/>
    <w:rPr>
      <w:color w:val="605E5C"/>
      <w:shd w:val="clear" w:color="auto" w:fill="E1DFDD"/>
    </w:rPr>
  </w:style>
  <w:style w:type="paragraph" w:styleId="ListParagraph">
    <w:name w:val="List Paragraph"/>
    <w:basedOn w:val="Normal"/>
    <w:uiPriority w:val="34"/>
    <w:qFormat/>
    <w:rsid w:val="001B4043"/>
    <w:pPr>
      <w:ind w:left="720"/>
      <w:contextualSpacing/>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la.ac.uk/schools/cancersciences/staff/alisonmichie/" TargetMode="External"/><Relationship Id="rId11" Type="http://schemas.openxmlformats.org/officeDocument/2006/relationships/customXml" Target="../customXml/item3.xml"/><Relationship Id="rId5" Type="http://schemas.openxmlformats.org/officeDocument/2006/relationships/image" Target="media/image1.jpe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6CAC576-679D-4125-BB15-75DE3EF5B98D}"/>
</file>

<file path=customXml/itemProps2.xml><?xml version="1.0" encoding="utf-8"?>
<ds:datastoreItem xmlns:ds="http://schemas.openxmlformats.org/officeDocument/2006/customXml" ds:itemID="{E7139BD0-6BF0-4781-8BC7-882A5506D495}"/>
</file>

<file path=customXml/itemProps3.xml><?xml version="1.0" encoding="utf-8"?>
<ds:datastoreItem xmlns:ds="http://schemas.openxmlformats.org/officeDocument/2006/customXml" ds:itemID="{18088C06-8ECD-40BB-A820-D7D636F0D5D7}"/>
</file>

<file path=docProps/app.xml><?xml version="1.0" encoding="utf-8"?>
<Properties xmlns="http://schemas.openxmlformats.org/officeDocument/2006/extended-properties" xmlns:vt="http://schemas.openxmlformats.org/officeDocument/2006/docPropsVTypes">
  <Template>Normal.dotm</Template>
  <TotalTime>35</TotalTime>
  <Pages>2</Pages>
  <Words>829</Words>
  <Characters>4730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Alison Michie</cp:lastModifiedBy>
  <cp:revision>9</cp:revision>
  <dcterms:created xsi:type="dcterms:W3CDTF">2020-10-15T09:09:00Z</dcterms:created>
  <dcterms:modified xsi:type="dcterms:W3CDTF">2024-01-27T14:11:00Z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