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02B5E658" w14:textId="251B8B90" w:rsidR="00A40DCB"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3E4C7B" w:rsidRPr="00CB6C07">
        <w:rPr>
          <w:rFonts w:ascii="Verdana" w:hAnsi="Verdana"/>
          <w:sz w:val="20"/>
          <w:szCs w:val="20"/>
        </w:rPr>
        <w:t>Role of Mitochondrial Reprogramming in PPARG Driven Prostate Cancer</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3F97004E" w:rsidR="002E79A8" w:rsidRPr="003E4C7B" w:rsidRDefault="003E4C7B" w:rsidP="00FC22E0">
      <w:pPr>
        <w:jc w:val="both"/>
        <w:rPr>
          <w:bCs/>
          <w:iCs/>
          <w:sz w:val="22"/>
          <w:szCs w:val="22"/>
        </w:rPr>
      </w:pPr>
      <w:r w:rsidRPr="003E4C7B">
        <w:rPr>
          <w:bCs/>
          <w:iCs/>
          <w:sz w:val="22"/>
          <w:szCs w:val="22"/>
        </w:rPr>
        <w:t>Imran Ahmad</w:t>
      </w:r>
    </w:p>
    <w:p w14:paraId="7F287C1A" w14:textId="7A5BB644" w:rsidR="003E4C7B" w:rsidRPr="003E4C7B" w:rsidRDefault="003E4C7B" w:rsidP="00FC22E0">
      <w:pPr>
        <w:jc w:val="both"/>
        <w:rPr>
          <w:bCs/>
          <w:iCs/>
          <w:sz w:val="22"/>
          <w:szCs w:val="22"/>
        </w:rPr>
      </w:pPr>
      <w:r w:rsidRPr="003E4C7B">
        <w:rPr>
          <w:bCs/>
          <w:iCs/>
          <w:sz w:val="22"/>
          <w:szCs w:val="22"/>
        </w:rPr>
        <w:t>Tom MacVicar</w:t>
      </w:r>
    </w:p>
    <w:p w14:paraId="69EB9F8E" w14:textId="77777777" w:rsidR="00FD38A7" w:rsidRPr="00FD38A7" w:rsidRDefault="00FD38A7" w:rsidP="00FC22E0">
      <w:pPr>
        <w:jc w:val="both"/>
        <w:rPr>
          <w:sz w:val="22"/>
          <w:szCs w:val="22"/>
        </w:rPr>
      </w:pPr>
    </w:p>
    <w:p w14:paraId="31529679" w14:textId="6106C48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FB85A91" w14:textId="526349D8" w:rsidR="003E4C7B" w:rsidRDefault="003E4C7B" w:rsidP="00FC22E0">
      <w:pPr>
        <w:jc w:val="both"/>
        <w:rPr>
          <w:rFonts w:ascii="Verdana" w:hAnsi="Verdana" w:cs="Cambria"/>
          <w:color w:val="0000E9"/>
          <w:sz w:val="20"/>
          <w:szCs w:val="20"/>
          <w:u w:val="single" w:color="0000E9"/>
        </w:rPr>
      </w:pPr>
      <w:hyperlink r:id="rId6" w:history="1">
        <w:r w:rsidRPr="001F3D89">
          <w:rPr>
            <w:rStyle w:val="Hyperlink"/>
            <w:rFonts w:ascii="Verdana" w:hAnsi="Verdana" w:cs="Cambria"/>
            <w:sz w:val="20"/>
            <w:szCs w:val="20"/>
          </w:rPr>
          <w:t>https://www.beatson.gla.ac.uk/beatson-research/beatson-research-groups/imran-ahmad-models-of-advanced-prostate-cancer.html</w:t>
        </w:r>
      </w:hyperlink>
    </w:p>
    <w:p w14:paraId="602A7D91" w14:textId="77777777" w:rsidR="003E4C7B" w:rsidRDefault="003E4C7B" w:rsidP="00FC22E0">
      <w:pPr>
        <w:jc w:val="both"/>
        <w:rPr>
          <w:rFonts w:ascii="Verdana" w:hAnsi="Verdana" w:cs="Cambria"/>
          <w:color w:val="0000E9"/>
          <w:sz w:val="20"/>
          <w:szCs w:val="20"/>
          <w:u w:val="single" w:color="0000E9"/>
        </w:rPr>
      </w:pPr>
    </w:p>
    <w:p w14:paraId="268D8497" w14:textId="455A66E2" w:rsidR="003E4C7B" w:rsidRPr="00FD38A7" w:rsidRDefault="003E4C7B" w:rsidP="00FC22E0">
      <w:pPr>
        <w:jc w:val="both"/>
        <w:rPr>
          <w:b/>
          <w:bCs/>
          <w:sz w:val="22"/>
          <w:szCs w:val="22"/>
        </w:rPr>
      </w:pPr>
      <w:r w:rsidRPr="00CB6C07">
        <w:rPr>
          <w:rFonts w:ascii="Verdana" w:hAnsi="Verdana" w:cs="Cambria"/>
          <w:color w:val="0000E9"/>
          <w:sz w:val="20"/>
          <w:szCs w:val="20"/>
          <w:u w:val="single" w:color="0000E9"/>
        </w:rPr>
        <w:t>https://www.beatson.gla.ac.uk/beatson-research/beatson-research-groups/tom-macvicar-mitochondrial-reprogramming-in-cancer.html</w:t>
      </w:r>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71762566" w14:textId="77777777" w:rsidR="003E4C7B" w:rsidRPr="00CB6C07" w:rsidRDefault="003E4C7B" w:rsidP="003E4C7B">
      <w:pPr>
        <w:jc w:val="both"/>
        <w:rPr>
          <w:rFonts w:ascii="Verdana" w:hAnsi="Verdana"/>
          <w:sz w:val="20"/>
          <w:szCs w:val="20"/>
        </w:rPr>
      </w:pPr>
      <w:r w:rsidRPr="00CB6C07">
        <w:rPr>
          <w:rFonts w:ascii="Verdana" w:hAnsi="Verdana"/>
          <w:sz w:val="20"/>
          <w:szCs w:val="20"/>
        </w:rPr>
        <w:t>Remarkable prostate cancer cell metabolic flexibility and plasticity enables tumours to grow and combat androgen therapy. Mitochondria are essential organelles that support tumour adaptation, with changes in form and function that are dynamically reprogrammed during tumorigenesis.  Previous work in our group has identified the key role of the metabolic regulator PPARG in driving metastatic prostate cancer.</w:t>
      </w:r>
    </w:p>
    <w:p w14:paraId="5C85B6CF" w14:textId="77777777" w:rsidR="003E4C7B" w:rsidRPr="00CB6C07" w:rsidRDefault="003E4C7B" w:rsidP="003E4C7B">
      <w:pPr>
        <w:jc w:val="both"/>
        <w:rPr>
          <w:rFonts w:ascii="Verdana" w:hAnsi="Verdana"/>
          <w:sz w:val="20"/>
          <w:szCs w:val="20"/>
        </w:rPr>
      </w:pPr>
      <w:r w:rsidRPr="00CB6C07">
        <w:rPr>
          <w:rFonts w:ascii="Verdana" w:hAnsi="Verdana"/>
          <w:sz w:val="20"/>
          <w:szCs w:val="20"/>
        </w:rPr>
        <w:t>In this innovative PhD project, the candidate will use 3D tumour models combined with genetically engineered mouse models to investigate how mitochondria contribute to tumorigenesis and treatment resistance. The candidate will study mitochondrial reprogramming in these models with state-of-the-art compartmentalised metabolomic and proteomic techniques. These studies will improve our basic understanding of mitochondrial reprogramming in tumours and may identify novel therapeutic targets for prostate cancer.</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1F9905DC" w:rsidR="00B402B9" w:rsidRDefault="003E4C7B" w:rsidP="00FC22E0">
      <w:pPr>
        <w:jc w:val="both"/>
        <w:rPr>
          <w:sz w:val="22"/>
          <w:szCs w:val="22"/>
        </w:rPr>
      </w:pPr>
      <w:r>
        <w:rPr>
          <w:sz w:val="22"/>
          <w:szCs w:val="22"/>
        </w:rPr>
        <w:t>Mouse Models</w:t>
      </w:r>
    </w:p>
    <w:p w14:paraId="6E26D2E8" w14:textId="56749A27" w:rsidR="003E4C7B" w:rsidRDefault="003E4C7B" w:rsidP="00FC22E0">
      <w:pPr>
        <w:jc w:val="both"/>
        <w:rPr>
          <w:sz w:val="22"/>
          <w:szCs w:val="22"/>
        </w:rPr>
      </w:pPr>
      <w:r>
        <w:rPr>
          <w:sz w:val="22"/>
          <w:szCs w:val="22"/>
        </w:rPr>
        <w:t>3D Models</w:t>
      </w:r>
    </w:p>
    <w:p w14:paraId="1662BCCE" w14:textId="3F76372E" w:rsidR="003E4C7B" w:rsidRDefault="003E4C7B" w:rsidP="00FC22E0">
      <w:pPr>
        <w:jc w:val="both"/>
        <w:rPr>
          <w:sz w:val="22"/>
          <w:szCs w:val="22"/>
        </w:rPr>
      </w:pPr>
      <w:r>
        <w:rPr>
          <w:sz w:val="22"/>
          <w:szCs w:val="22"/>
        </w:rPr>
        <w:t>Proteomics</w:t>
      </w:r>
    </w:p>
    <w:p w14:paraId="01FF92A2" w14:textId="222BAC44" w:rsidR="003E4C7B" w:rsidRDefault="003E4C7B" w:rsidP="00FC22E0">
      <w:pPr>
        <w:jc w:val="both"/>
        <w:rPr>
          <w:sz w:val="22"/>
          <w:szCs w:val="22"/>
        </w:rPr>
      </w:pPr>
      <w:r>
        <w:rPr>
          <w:sz w:val="22"/>
          <w:szCs w:val="22"/>
        </w:rPr>
        <w:t>Metabolomics</w:t>
      </w:r>
    </w:p>
    <w:p w14:paraId="2847F12E" w14:textId="77777777" w:rsidR="00B402B9" w:rsidRDefault="00B402B9" w:rsidP="00FC22E0">
      <w:pPr>
        <w:jc w:val="both"/>
        <w:rPr>
          <w:sz w:val="22"/>
          <w:szCs w:val="22"/>
        </w:rPr>
      </w:pPr>
    </w:p>
    <w:p w14:paraId="6BD5B96F" w14:textId="77777777" w:rsidR="00FD38A7" w:rsidRDefault="00FD38A7" w:rsidP="00FC22E0">
      <w:pPr>
        <w:jc w:val="both"/>
        <w:rPr>
          <w:sz w:val="22"/>
          <w:szCs w:val="22"/>
        </w:rPr>
      </w:pPr>
    </w:p>
    <w:p w14:paraId="2AFA2D39" w14:textId="77777777" w:rsidR="003E4C7B" w:rsidRDefault="003E4C7B" w:rsidP="00FC22E0">
      <w:pPr>
        <w:jc w:val="both"/>
        <w:rPr>
          <w:sz w:val="22"/>
          <w:szCs w:val="22"/>
        </w:rPr>
      </w:pPr>
    </w:p>
    <w:p w14:paraId="21490DD9" w14:textId="77777777" w:rsidR="003E4C7B" w:rsidRDefault="003E4C7B" w:rsidP="00FC22E0">
      <w:pPr>
        <w:jc w:val="both"/>
        <w:rPr>
          <w:sz w:val="22"/>
          <w:szCs w:val="22"/>
        </w:rPr>
      </w:pPr>
    </w:p>
    <w:p w14:paraId="75D86936" w14:textId="77777777" w:rsidR="003E4C7B" w:rsidRPr="00FD38A7" w:rsidRDefault="003E4C7B"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lastRenderedPageBreak/>
        <w:t>Papers of interest:</w:t>
      </w:r>
    </w:p>
    <w:p w14:paraId="7C37F84D" w14:textId="77777777" w:rsidR="002E79A8" w:rsidRPr="0007041D" w:rsidRDefault="002E79A8" w:rsidP="00FC22E0">
      <w:pPr>
        <w:jc w:val="both"/>
        <w:rPr>
          <w:sz w:val="22"/>
          <w:szCs w:val="22"/>
        </w:rPr>
      </w:pPr>
    </w:p>
    <w:p w14:paraId="51D3BFDB" w14:textId="58509BF6" w:rsidR="003E4C7B" w:rsidRPr="003E4C7B" w:rsidRDefault="003E4C7B" w:rsidP="003E4C7B">
      <w:pPr>
        <w:pStyle w:val="ListParagraph"/>
        <w:numPr>
          <w:ilvl w:val="0"/>
          <w:numId w:val="4"/>
        </w:numPr>
        <w:jc w:val="both"/>
        <w:rPr>
          <w:rFonts w:ascii="Verdana" w:hAnsi="Verdana"/>
          <w:sz w:val="20"/>
          <w:szCs w:val="20"/>
        </w:rPr>
      </w:pPr>
      <w:r w:rsidRPr="003E4C7B">
        <w:rPr>
          <w:rFonts w:ascii="Verdana" w:hAnsi="Verdana"/>
          <w:sz w:val="20"/>
          <w:szCs w:val="20"/>
        </w:rPr>
        <w:t xml:space="preserve">Galbraith LCA, Mui E, Nixon C, Hedley A, Strachan D, MacKay G, </w:t>
      </w:r>
      <w:proofErr w:type="spellStart"/>
      <w:r w:rsidRPr="003E4C7B">
        <w:rPr>
          <w:rFonts w:ascii="Verdana" w:hAnsi="Verdana"/>
          <w:sz w:val="20"/>
          <w:szCs w:val="20"/>
        </w:rPr>
        <w:t>Sumpton</w:t>
      </w:r>
      <w:proofErr w:type="spellEnd"/>
      <w:r w:rsidRPr="003E4C7B">
        <w:rPr>
          <w:rFonts w:ascii="Verdana" w:hAnsi="Verdana"/>
          <w:sz w:val="20"/>
          <w:szCs w:val="20"/>
        </w:rPr>
        <w:t xml:space="preserve"> D, Sansom OJ, Leung HY, Ahmad I.  “PPAR-gamma induced AKT3 expression increases levels of mitochondrial biogenesis driving prostate cancer”.  Oncogene 2021; </w:t>
      </w:r>
      <w:proofErr w:type="spellStart"/>
      <w:r w:rsidRPr="003E4C7B">
        <w:rPr>
          <w:rFonts w:ascii="Verdana" w:hAnsi="Verdana"/>
          <w:sz w:val="20"/>
          <w:szCs w:val="20"/>
        </w:rPr>
        <w:t>doi</w:t>
      </w:r>
      <w:proofErr w:type="spellEnd"/>
      <w:r w:rsidRPr="003E4C7B">
        <w:rPr>
          <w:rFonts w:ascii="Verdana" w:hAnsi="Verdana"/>
          <w:sz w:val="20"/>
          <w:szCs w:val="20"/>
        </w:rPr>
        <w:t>: 10.1038/s41388-021-01707-7</w:t>
      </w:r>
    </w:p>
    <w:p w14:paraId="202F7963" w14:textId="6D15BB30" w:rsidR="003E4C7B" w:rsidRPr="003E4C7B" w:rsidRDefault="003E4C7B" w:rsidP="003E4C7B">
      <w:pPr>
        <w:pStyle w:val="ListParagraph"/>
        <w:numPr>
          <w:ilvl w:val="0"/>
          <w:numId w:val="4"/>
        </w:numPr>
        <w:jc w:val="both"/>
        <w:rPr>
          <w:rFonts w:ascii="Verdana" w:hAnsi="Verdana"/>
          <w:sz w:val="20"/>
          <w:szCs w:val="20"/>
        </w:rPr>
      </w:pPr>
      <w:proofErr w:type="spellStart"/>
      <w:r w:rsidRPr="003E4C7B">
        <w:rPr>
          <w:rFonts w:ascii="Verdana" w:hAnsi="Verdana"/>
          <w:sz w:val="20"/>
          <w:szCs w:val="20"/>
        </w:rPr>
        <w:t>Grotehans</w:t>
      </w:r>
      <w:proofErr w:type="spellEnd"/>
      <w:r w:rsidRPr="003E4C7B">
        <w:rPr>
          <w:rFonts w:ascii="Verdana" w:hAnsi="Verdana"/>
          <w:sz w:val="20"/>
          <w:szCs w:val="20"/>
        </w:rPr>
        <w:t xml:space="preserve"> N, McGarry L, Nolte H, Xavier V, </w:t>
      </w:r>
      <w:proofErr w:type="spellStart"/>
      <w:r w:rsidRPr="003E4C7B">
        <w:rPr>
          <w:rFonts w:ascii="Verdana" w:hAnsi="Verdana"/>
          <w:sz w:val="20"/>
          <w:szCs w:val="20"/>
        </w:rPr>
        <w:t>Kroker</w:t>
      </w:r>
      <w:proofErr w:type="spellEnd"/>
      <w:r w:rsidRPr="003E4C7B">
        <w:rPr>
          <w:rFonts w:ascii="Verdana" w:hAnsi="Verdana"/>
          <w:sz w:val="20"/>
          <w:szCs w:val="20"/>
        </w:rPr>
        <w:t xml:space="preserve"> M, </w:t>
      </w:r>
      <w:proofErr w:type="spellStart"/>
      <w:r w:rsidRPr="003E4C7B">
        <w:rPr>
          <w:rFonts w:ascii="Verdana" w:hAnsi="Verdana"/>
          <w:sz w:val="20"/>
          <w:szCs w:val="20"/>
        </w:rPr>
        <w:t>Narbona</w:t>
      </w:r>
      <w:proofErr w:type="spellEnd"/>
      <w:r w:rsidRPr="003E4C7B">
        <w:rPr>
          <w:rFonts w:ascii="Verdana" w:hAnsi="Verdana"/>
          <w:sz w:val="20"/>
          <w:szCs w:val="20"/>
        </w:rPr>
        <w:t xml:space="preserve">-Pérez Á J, </w:t>
      </w:r>
      <w:proofErr w:type="spellStart"/>
      <w:r w:rsidRPr="003E4C7B">
        <w:rPr>
          <w:rFonts w:ascii="Verdana" w:hAnsi="Verdana"/>
          <w:sz w:val="20"/>
          <w:szCs w:val="20"/>
        </w:rPr>
        <w:t>Deshwal</w:t>
      </w:r>
      <w:proofErr w:type="spellEnd"/>
      <w:r w:rsidRPr="003E4C7B">
        <w:rPr>
          <w:rFonts w:ascii="Verdana" w:hAnsi="Verdana"/>
          <w:sz w:val="20"/>
          <w:szCs w:val="20"/>
        </w:rPr>
        <w:t xml:space="preserve"> S, </w:t>
      </w:r>
      <w:proofErr w:type="spellStart"/>
      <w:r w:rsidRPr="003E4C7B">
        <w:rPr>
          <w:rFonts w:ascii="Verdana" w:hAnsi="Verdana"/>
          <w:sz w:val="20"/>
          <w:szCs w:val="20"/>
        </w:rPr>
        <w:t>Giavalisco</w:t>
      </w:r>
      <w:proofErr w:type="spellEnd"/>
      <w:r w:rsidRPr="003E4C7B">
        <w:rPr>
          <w:rFonts w:ascii="Verdana" w:hAnsi="Verdana"/>
          <w:sz w:val="20"/>
          <w:szCs w:val="20"/>
        </w:rPr>
        <w:t xml:space="preserve"> P, Langer T, MacVicar T. Ribonucleotide synthesis by NME6 fuels mitochondrial gene expression. </w:t>
      </w:r>
      <w:proofErr w:type="spellStart"/>
      <w:r w:rsidRPr="003E4C7B">
        <w:rPr>
          <w:rFonts w:ascii="Verdana" w:hAnsi="Verdana"/>
          <w:sz w:val="20"/>
          <w:szCs w:val="20"/>
        </w:rPr>
        <w:t>Embo</w:t>
      </w:r>
      <w:proofErr w:type="spellEnd"/>
      <w:r w:rsidRPr="003E4C7B">
        <w:rPr>
          <w:rFonts w:ascii="Verdana" w:hAnsi="Verdana"/>
          <w:sz w:val="20"/>
          <w:szCs w:val="20"/>
        </w:rPr>
        <w:t xml:space="preserve"> j. 2023;10.15252/embj.</w:t>
      </w:r>
      <w:proofErr w:type="gramStart"/>
      <w:r w:rsidRPr="003E4C7B">
        <w:rPr>
          <w:rFonts w:ascii="Verdana" w:hAnsi="Verdana"/>
          <w:sz w:val="20"/>
          <w:szCs w:val="20"/>
        </w:rPr>
        <w:t>2022113256:e</w:t>
      </w:r>
      <w:proofErr w:type="gramEnd"/>
      <w:r w:rsidRPr="003E4C7B">
        <w:rPr>
          <w:rFonts w:ascii="Verdana" w:hAnsi="Verdana"/>
          <w:sz w:val="20"/>
          <w:szCs w:val="20"/>
        </w:rPr>
        <w:t>113256.</w:t>
      </w:r>
    </w:p>
    <w:p w14:paraId="6F539C86" w14:textId="43741CDC" w:rsidR="0007041D" w:rsidRPr="0007041D" w:rsidRDefault="0007041D">
      <w:pPr>
        <w:rPr>
          <w:sz w:val="22"/>
          <w:szCs w:val="22"/>
        </w:rPr>
      </w:pPr>
    </w:p>
    <w:sectPr w:rsidR="0007041D" w:rsidRPr="0007041D" w:rsidSect="00D262C8">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Yu Gothic Light">
    <w:panose1 w:val="020B0300000000000000"/>
    <w:charset w:val="80"/>
    <w:family w:val="swiss"/>
    <w:notTrueType/>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472F069C"/>
    <w:multiLevelType w:val="hybridMultilevel"/>
    <w:tmpl w:val="412CC00C"/>
    <w:lvl w:ilvl="0" w:tplc="89EA3900">
      <w:start w:val="1"/>
      <w:numFmt w:val="decimal"/>
      <w:lvlText w:val="%1."/>
      <w:lvlJc w:val="left"/>
      <w:pPr>
        <w:ind w:left="720" w:hanging="680"/>
      </w:pPr>
      <w:rPr>
        <w:rFonts w:hint="default"/>
      </w:rPr>
    </w:lvl>
    <w:lvl w:ilvl="1" w:tplc="08090019" w:tentative="1">
      <w:start w:val="1"/>
      <w:numFmt w:val="lowerLetter"/>
      <w:lvlText w:val="%2."/>
      <w:lvlJc w:val="left"/>
      <w:pPr>
        <w:ind w:left="1120" w:hanging="360"/>
      </w:pPr>
    </w:lvl>
    <w:lvl w:ilvl="2" w:tplc="0809001B" w:tentative="1">
      <w:start w:val="1"/>
      <w:numFmt w:val="lowerRoman"/>
      <w:lvlText w:val="%3."/>
      <w:lvlJc w:val="right"/>
      <w:pPr>
        <w:ind w:left="1840" w:hanging="180"/>
      </w:pPr>
    </w:lvl>
    <w:lvl w:ilvl="3" w:tplc="0809000F" w:tentative="1">
      <w:start w:val="1"/>
      <w:numFmt w:val="decimal"/>
      <w:lvlText w:val="%4."/>
      <w:lvlJc w:val="left"/>
      <w:pPr>
        <w:ind w:left="2560" w:hanging="360"/>
      </w:pPr>
    </w:lvl>
    <w:lvl w:ilvl="4" w:tplc="08090019" w:tentative="1">
      <w:start w:val="1"/>
      <w:numFmt w:val="lowerLetter"/>
      <w:lvlText w:val="%5."/>
      <w:lvlJc w:val="left"/>
      <w:pPr>
        <w:ind w:left="3280" w:hanging="360"/>
      </w:pPr>
    </w:lvl>
    <w:lvl w:ilvl="5" w:tplc="0809001B" w:tentative="1">
      <w:start w:val="1"/>
      <w:numFmt w:val="lowerRoman"/>
      <w:lvlText w:val="%6."/>
      <w:lvlJc w:val="right"/>
      <w:pPr>
        <w:ind w:left="4000" w:hanging="180"/>
      </w:pPr>
    </w:lvl>
    <w:lvl w:ilvl="6" w:tplc="0809000F" w:tentative="1">
      <w:start w:val="1"/>
      <w:numFmt w:val="decimal"/>
      <w:lvlText w:val="%7."/>
      <w:lvlJc w:val="left"/>
      <w:pPr>
        <w:ind w:left="4720" w:hanging="360"/>
      </w:pPr>
    </w:lvl>
    <w:lvl w:ilvl="7" w:tplc="08090019" w:tentative="1">
      <w:start w:val="1"/>
      <w:numFmt w:val="lowerLetter"/>
      <w:lvlText w:val="%8."/>
      <w:lvlJc w:val="left"/>
      <w:pPr>
        <w:ind w:left="5440" w:hanging="360"/>
      </w:pPr>
    </w:lvl>
    <w:lvl w:ilvl="8" w:tplc="0809001B" w:tentative="1">
      <w:start w:val="1"/>
      <w:numFmt w:val="lowerRoman"/>
      <w:lvlText w:val="%9."/>
      <w:lvlJc w:val="right"/>
      <w:pPr>
        <w:ind w:left="6160" w:hanging="180"/>
      </w:p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23658829">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929272560">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16cid:durableId="1110471032">
    <w:abstractNumId w:val="1"/>
  </w:num>
  <w:num w:numId="4" w16cid:durableId="3048243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4C7B"/>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262C8"/>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3E4C7B"/>
    <w:rPr>
      <w:color w:val="605E5C"/>
      <w:shd w:val="clear" w:color="auto" w:fill="E1DFDD"/>
    </w:rPr>
  </w:style>
  <w:style w:type="paragraph" w:styleId="ListParagraph">
    <w:name w:val="List Paragraph"/>
    <w:basedOn w:val="Normal"/>
    <w:uiPriority w:val="34"/>
    <w:qFormat/>
    <w:rsid w:val="003E4C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eatson.gla.ac.uk/beatson-research/beatson-research-groups/imran-ahmad-models-of-advanced-prostate-cancer.html"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41EFB2B-37CD-4FE1-9FA9-EE8B842220D6}"/>
</file>

<file path=customXml/itemProps2.xml><?xml version="1.0" encoding="utf-8"?>
<ds:datastoreItem xmlns:ds="http://schemas.openxmlformats.org/officeDocument/2006/customXml" ds:itemID="{AF53D111-DE43-48E6-920F-9ADBFC75A1D5}"/>
</file>

<file path=customXml/itemProps3.xml><?xml version="1.0" encoding="utf-8"?>
<ds:datastoreItem xmlns:ds="http://schemas.openxmlformats.org/officeDocument/2006/customXml" ds:itemID="{92273ABD-7D44-4319-87CA-784F65B367B6}"/>
</file>

<file path=docProps/app.xml><?xml version="1.0" encoding="utf-8"?>
<Properties xmlns="http://schemas.openxmlformats.org/officeDocument/2006/extended-properties" xmlns:vt="http://schemas.openxmlformats.org/officeDocument/2006/docPropsVTypes">
  <Template>Normal.dotm</Template>
  <TotalTime>1</TotalTime>
  <Pages>2</Pages>
  <Words>413</Words>
  <Characters>2358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Imran Ahmad</cp:lastModifiedBy>
  <cp:revision>2</cp:revision>
  <dcterms:created xsi:type="dcterms:W3CDTF">2023-12-30T00:42:00Z</dcterms:created>
  <dcterms:modified xsi:type="dcterms:W3CDTF">2023-12-30T00:42:00Z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